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B7D1" w14:textId="77777777" w:rsidR="002A5A1D" w:rsidRPr="008A4951" w:rsidRDefault="002A5A1D" w:rsidP="009E0049">
      <w:pPr>
        <w:spacing w:after="0"/>
        <w:jc w:val="both"/>
        <w:rPr>
          <w:rFonts w:ascii="Calibri" w:hAnsi="Calibri" w:cs="Calibri"/>
          <w:b/>
          <w:bCs/>
          <w:sz w:val="18"/>
          <w:szCs w:val="18"/>
          <w:lang w:val="en-CA"/>
        </w:rPr>
      </w:pPr>
    </w:p>
    <w:p w14:paraId="14B95688" w14:textId="1DBC6B12" w:rsidR="00047C44" w:rsidRPr="00075D2F" w:rsidRDefault="004B5AE4" w:rsidP="009E0049">
      <w:pPr>
        <w:spacing w:after="0"/>
        <w:jc w:val="both"/>
        <w:rPr>
          <w:rFonts w:ascii="Calibri" w:hAnsi="Calibri" w:cs="Calibri"/>
          <w:b/>
          <w:bCs/>
          <w:sz w:val="18"/>
          <w:szCs w:val="18"/>
          <w:lang w:val="en-CA"/>
        </w:rPr>
      </w:pPr>
      <w:r w:rsidRPr="00075D2F">
        <w:rPr>
          <w:rFonts w:ascii="Calibri" w:hAnsi="Calibri" w:cs="Calibri"/>
          <w:b/>
          <w:bCs/>
          <w:sz w:val="18"/>
          <w:szCs w:val="18"/>
          <w:lang w:val="en-CA"/>
        </w:rPr>
        <w:t xml:space="preserve">INRS </w:t>
      </w:r>
      <w:r w:rsidR="00047C44" w:rsidRPr="00075D2F">
        <w:rPr>
          <w:rFonts w:ascii="Calibri" w:hAnsi="Calibri" w:cs="Calibri"/>
          <w:b/>
          <w:bCs/>
          <w:sz w:val="18"/>
          <w:szCs w:val="18"/>
          <w:lang w:val="en-CA"/>
        </w:rPr>
        <w:t>Terms</w:t>
      </w:r>
      <w:r w:rsidR="00DB1ABB" w:rsidRPr="00075D2F">
        <w:rPr>
          <w:rFonts w:ascii="Calibri" w:hAnsi="Calibri" w:cs="Calibri"/>
          <w:b/>
          <w:bCs/>
          <w:sz w:val="18"/>
          <w:szCs w:val="18"/>
          <w:lang w:val="en-CA"/>
        </w:rPr>
        <w:t xml:space="preserve"> of Services/Analysis</w:t>
      </w:r>
      <w:r w:rsidR="00D85825" w:rsidRPr="00075D2F">
        <w:rPr>
          <w:rFonts w:ascii="Calibri" w:hAnsi="Calibri" w:cs="Calibri"/>
          <w:b/>
          <w:bCs/>
          <w:sz w:val="18"/>
          <w:szCs w:val="18"/>
          <w:lang w:val="en-CA"/>
        </w:rPr>
        <w:t xml:space="preserve"> (“Agreement”)</w:t>
      </w:r>
      <w:r w:rsidR="00047C44" w:rsidRPr="00075D2F">
        <w:rPr>
          <w:rFonts w:ascii="Calibri" w:hAnsi="Calibri" w:cs="Calibri"/>
          <w:b/>
          <w:bCs/>
          <w:sz w:val="18"/>
          <w:szCs w:val="18"/>
          <w:lang w:val="en-CA"/>
        </w:rPr>
        <w:t xml:space="preserve"> </w:t>
      </w:r>
    </w:p>
    <w:p w14:paraId="3F8062AB" w14:textId="4302BCCE" w:rsidR="00E176CA" w:rsidRPr="00075D2F" w:rsidRDefault="00E176CA" w:rsidP="009E0049">
      <w:pPr>
        <w:spacing w:after="0"/>
        <w:jc w:val="both"/>
        <w:rPr>
          <w:rFonts w:ascii="Calibri" w:hAnsi="Calibri" w:cs="Calibri"/>
          <w:sz w:val="18"/>
          <w:szCs w:val="18"/>
          <w:lang w:val="en-CA"/>
        </w:rPr>
      </w:pPr>
    </w:p>
    <w:p w14:paraId="25396C0F" w14:textId="270A1DC5" w:rsidR="00047C44" w:rsidRPr="00075D2F" w:rsidRDefault="00715DA5" w:rsidP="009E0049">
      <w:pPr>
        <w:spacing w:after="0"/>
        <w:jc w:val="both"/>
        <w:rPr>
          <w:rFonts w:ascii="Calibri" w:hAnsi="Calibri" w:cs="Calibri"/>
          <w:b/>
          <w:bCs/>
          <w:sz w:val="18"/>
          <w:szCs w:val="18"/>
          <w:lang w:val="en-CA"/>
        </w:rPr>
      </w:pPr>
      <w:r w:rsidRPr="00075D2F">
        <w:rPr>
          <w:rFonts w:ascii="Calibri" w:hAnsi="Calibri" w:cs="Calibri"/>
          <w:b/>
          <w:bCs/>
          <w:sz w:val="18"/>
          <w:szCs w:val="18"/>
          <w:lang w:val="en-CA"/>
        </w:rPr>
        <w:t xml:space="preserve">All requests received </w:t>
      </w:r>
      <w:r w:rsidR="002933A3">
        <w:rPr>
          <w:rFonts w:ascii="Calibri" w:hAnsi="Calibri" w:cs="Calibri"/>
          <w:b/>
          <w:bCs/>
          <w:sz w:val="18"/>
          <w:szCs w:val="18"/>
          <w:lang w:val="en-CA"/>
        </w:rPr>
        <w:t>on</w:t>
      </w:r>
      <w:r w:rsidR="00FE22AE" w:rsidRPr="00075D2F">
        <w:rPr>
          <w:rFonts w:ascii="Calibri" w:hAnsi="Calibri" w:cs="Calibri"/>
          <w:b/>
          <w:bCs/>
          <w:sz w:val="18"/>
          <w:szCs w:val="18"/>
          <w:lang w:val="en-CA"/>
        </w:rPr>
        <w:t xml:space="preserve"> the </w:t>
      </w:r>
      <w:r w:rsidR="002933A3" w:rsidRPr="002933A3">
        <w:rPr>
          <w:rFonts w:ascii="Calibri" w:hAnsi="Calibri" w:cs="Calibri"/>
          <w:b/>
          <w:bCs/>
          <w:sz w:val="18"/>
          <w:szCs w:val="18"/>
          <w:lang w:val="en-CA"/>
        </w:rPr>
        <w:t xml:space="preserve">Molecular Interactions and Materials Characterization Facility (MIMC) </w:t>
      </w:r>
      <w:r w:rsidR="00FE22AE" w:rsidRPr="00075D2F">
        <w:rPr>
          <w:rFonts w:ascii="Calibri" w:hAnsi="Calibri" w:cs="Calibri"/>
          <w:b/>
          <w:bCs/>
          <w:sz w:val="18"/>
          <w:szCs w:val="18"/>
          <w:lang w:val="en-CA"/>
        </w:rPr>
        <w:t>are</w:t>
      </w:r>
      <w:r w:rsidR="00A8220C" w:rsidRPr="00075D2F">
        <w:rPr>
          <w:rFonts w:ascii="Calibri" w:hAnsi="Calibri" w:cs="Calibri"/>
          <w:b/>
          <w:bCs/>
          <w:sz w:val="18"/>
          <w:szCs w:val="18"/>
          <w:lang w:val="en-CA"/>
        </w:rPr>
        <w:t xml:space="preserve"> </w:t>
      </w:r>
      <w:r w:rsidR="00047C44" w:rsidRPr="00075D2F">
        <w:rPr>
          <w:rFonts w:ascii="Calibri" w:hAnsi="Calibri" w:cs="Calibri"/>
          <w:b/>
          <w:bCs/>
          <w:sz w:val="18"/>
          <w:szCs w:val="18"/>
          <w:lang w:val="en-CA"/>
        </w:rPr>
        <w:t xml:space="preserve">subject to these </w:t>
      </w:r>
      <w:r w:rsidR="00227906" w:rsidRPr="00075D2F">
        <w:rPr>
          <w:rFonts w:ascii="Calibri" w:hAnsi="Calibri" w:cs="Calibri"/>
          <w:b/>
          <w:bCs/>
          <w:sz w:val="18"/>
          <w:szCs w:val="18"/>
          <w:lang w:val="en-CA"/>
        </w:rPr>
        <w:t>S</w:t>
      </w:r>
      <w:r w:rsidR="00047C44" w:rsidRPr="00075D2F">
        <w:rPr>
          <w:rFonts w:ascii="Calibri" w:hAnsi="Calibri" w:cs="Calibri"/>
          <w:b/>
          <w:bCs/>
          <w:sz w:val="18"/>
          <w:szCs w:val="18"/>
          <w:lang w:val="en-CA"/>
        </w:rPr>
        <w:t xml:space="preserve">tandard </w:t>
      </w:r>
      <w:r w:rsidR="00227906" w:rsidRPr="00075D2F">
        <w:rPr>
          <w:rFonts w:ascii="Calibri" w:hAnsi="Calibri" w:cs="Calibri"/>
          <w:b/>
          <w:bCs/>
          <w:sz w:val="18"/>
          <w:szCs w:val="18"/>
          <w:lang w:val="en-CA"/>
        </w:rPr>
        <w:t>P</w:t>
      </w:r>
      <w:r w:rsidR="00047C44" w:rsidRPr="00075D2F">
        <w:rPr>
          <w:rFonts w:ascii="Calibri" w:hAnsi="Calibri" w:cs="Calibri"/>
          <w:b/>
          <w:bCs/>
          <w:sz w:val="18"/>
          <w:szCs w:val="18"/>
          <w:lang w:val="en-CA"/>
        </w:rPr>
        <w:t xml:space="preserve">urchase </w:t>
      </w:r>
      <w:r w:rsidR="00227906" w:rsidRPr="00075D2F">
        <w:rPr>
          <w:rFonts w:ascii="Calibri" w:hAnsi="Calibri" w:cs="Calibri"/>
          <w:b/>
          <w:bCs/>
          <w:sz w:val="18"/>
          <w:szCs w:val="18"/>
          <w:lang w:val="en-CA"/>
        </w:rPr>
        <w:t>T</w:t>
      </w:r>
      <w:r w:rsidR="00047C44" w:rsidRPr="00075D2F">
        <w:rPr>
          <w:rFonts w:ascii="Calibri" w:hAnsi="Calibri" w:cs="Calibri"/>
          <w:b/>
          <w:bCs/>
          <w:sz w:val="18"/>
          <w:szCs w:val="18"/>
          <w:lang w:val="en-CA"/>
        </w:rPr>
        <w:t xml:space="preserve">erms </w:t>
      </w:r>
      <w:r w:rsidR="00227906" w:rsidRPr="00075D2F">
        <w:rPr>
          <w:rFonts w:ascii="Calibri" w:hAnsi="Calibri" w:cs="Calibri"/>
          <w:b/>
          <w:bCs/>
          <w:sz w:val="18"/>
          <w:szCs w:val="18"/>
          <w:lang w:val="en-CA"/>
        </w:rPr>
        <w:t>(SPT)</w:t>
      </w:r>
      <w:r w:rsidR="00440AD5" w:rsidRPr="00075D2F">
        <w:rPr>
          <w:rFonts w:ascii="Calibri" w:hAnsi="Calibri" w:cs="Calibri"/>
          <w:b/>
          <w:bCs/>
          <w:sz w:val="18"/>
          <w:szCs w:val="18"/>
          <w:lang w:val="en-CA"/>
        </w:rPr>
        <w:t xml:space="preserve">. </w:t>
      </w:r>
      <w:r w:rsidR="00047C44" w:rsidRPr="00075D2F">
        <w:rPr>
          <w:rFonts w:ascii="Calibri" w:hAnsi="Calibri" w:cs="Calibri"/>
          <w:b/>
          <w:bCs/>
          <w:sz w:val="18"/>
          <w:szCs w:val="18"/>
          <w:lang w:val="en-CA"/>
        </w:rPr>
        <w:t xml:space="preserve">Client shall be deemed to have agreed to be bound by such terms by </w:t>
      </w:r>
      <w:r w:rsidR="00DA7AA0" w:rsidRPr="00075D2F">
        <w:rPr>
          <w:rFonts w:ascii="Calibri" w:hAnsi="Calibri" w:cs="Calibri"/>
          <w:b/>
          <w:bCs/>
          <w:sz w:val="18"/>
          <w:szCs w:val="18"/>
          <w:lang w:val="en-CA"/>
        </w:rPr>
        <w:t>accepting the service offer from INRS</w:t>
      </w:r>
      <w:r w:rsidR="002C4699" w:rsidRPr="00075D2F">
        <w:rPr>
          <w:rFonts w:ascii="Calibri" w:hAnsi="Calibri" w:cs="Calibri"/>
          <w:b/>
          <w:bCs/>
          <w:sz w:val="18"/>
          <w:szCs w:val="18"/>
          <w:lang w:val="en-CA"/>
        </w:rPr>
        <w:t xml:space="preserve">, </w:t>
      </w:r>
      <w:r w:rsidR="00047C44" w:rsidRPr="00075D2F">
        <w:rPr>
          <w:rFonts w:ascii="Calibri" w:hAnsi="Calibri" w:cs="Calibri"/>
          <w:b/>
          <w:bCs/>
          <w:sz w:val="18"/>
          <w:szCs w:val="18"/>
          <w:lang w:val="en-CA"/>
        </w:rPr>
        <w:t xml:space="preserve">the performance of the </w:t>
      </w:r>
      <w:r w:rsidR="0016152E" w:rsidRPr="00075D2F">
        <w:rPr>
          <w:rFonts w:ascii="Calibri" w:hAnsi="Calibri" w:cs="Calibri"/>
          <w:b/>
          <w:bCs/>
          <w:sz w:val="18"/>
          <w:szCs w:val="18"/>
          <w:lang w:val="en-CA"/>
        </w:rPr>
        <w:t>S</w:t>
      </w:r>
      <w:r w:rsidR="00047C44" w:rsidRPr="00075D2F">
        <w:rPr>
          <w:rFonts w:ascii="Calibri" w:hAnsi="Calibri" w:cs="Calibri"/>
          <w:b/>
          <w:bCs/>
          <w:sz w:val="18"/>
          <w:szCs w:val="18"/>
          <w:lang w:val="en-CA"/>
        </w:rPr>
        <w:t>ervices/</w:t>
      </w:r>
      <w:r w:rsidR="0016152E" w:rsidRPr="00075D2F">
        <w:rPr>
          <w:rFonts w:ascii="Calibri" w:hAnsi="Calibri" w:cs="Calibri"/>
          <w:b/>
          <w:bCs/>
          <w:sz w:val="18"/>
          <w:szCs w:val="18"/>
          <w:lang w:val="en-CA"/>
        </w:rPr>
        <w:t>A</w:t>
      </w:r>
      <w:r w:rsidR="00047C44" w:rsidRPr="00075D2F">
        <w:rPr>
          <w:rFonts w:ascii="Calibri" w:hAnsi="Calibri" w:cs="Calibri"/>
          <w:b/>
          <w:bCs/>
          <w:sz w:val="18"/>
          <w:szCs w:val="18"/>
          <w:lang w:val="en-CA"/>
        </w:rPr>
        <w:t xml:space="preserve">nalysis and </w:t>
      </w:r>
      <w:r w:rsidR="0016152E" w:rsidRPr="00075D2F">
        <w:rPr>
          <w:rFonts w:ascii="Calibri" w:hAnsi="Calibri" w:cs="Calibri"/>
          <w:b/>
          <w:bCs/>
          <w:sz w:val="18"/>
          <w:szCs w:val="18"/>
          <w:lang w:val="en-CA"/>
        </w:rPr>
        <w:t>provision</w:t>
      </w:r>
      <w:r w:rsidR="00047C44" w:rsidRPr="00075D2F">
        <w:rPr>
          <w:rFonts w:ascii="Calibri" w:hAnsi="Calibri" w:cs="Calibri"/>
          <w:b/>
          <w:bCs/>
          <w:sz w:val="18"/>
          <w:szCs w:val="18"/>
          <w:lang w:val="en-CA"/>
        </w:rPr>
        <w:t xml:space="preserve"> of </w:t>
      </w:r>
      <w:r w:rsidR="0016152E" w:rsidRPr="00075D2F">
        <w:rPr>
          <w:rFonts w:ascii="Calibri" w:hAnsi="Calibri" w:cs="Calibri"/>
          <w:b/>
          <w:bCs/>
          <w:sz w:val="18"/>
          <w:szCs w:val="18"/>
          <w:lang w:val="en-CA"/>
        </w:rPr>
        <w:t>the Deliverable</w:t>
      </w:r>
      <w:r w:rsidR="00302580" w:rsidRPr="00075D2F">
        <w:rPr>
          <w:rFonts w:ascii="Calibri" w:hAnsi="Calibri" w:cs="Calibri"/>
          <w:b/>
          <w:bCs/>
          <w:sz w:val="18"/>
          <w:szCs w:val="18"/>
          <w:lang w:val="en-CA"/>
        </w:rPr>
        <w:t>(</w:t>
      </w:r>
      <w:r w:rsidR="0016152E" w:rsidRPr="00075D2F">
        <w:rPr>
          <w:rFonts w:ascii="Calibri" w:hAnsi="Calibri" w:cs="Calibri"/>
          <w:b/>
          <w:bCs/>
          <w:sz w:val="18"/>
          <w:szCs w:val="18"/>
          <w:lang w:val="en-CA"/>
        </w:rPr>
        <w:t>s</w:t>
      </w:r>
      <w:r w:rsidR="00302580" w:rsidRPr="00075D2F">
        <w:rPr>
          <w:rFonts w:ascii="Calibri" w:hAnsi="Calibri" w:cs="Calibri"/>
          <w:b/>
          <w:bCs/>
          <w:sz w:val="18"/>
          <w:szCs w:val="18"/>
          <w:lang w:val="en-CA"/>
        </w:rPr>
        <w:t>)</w:t>
      </w:r>
      <w:r w:rsidR="0062571A" w:rsidRPr="00075D2F">
        <w:rPr>
          <w:rFonts w:ascii="Calibri" w:hAnsi="Calibri" w:cs="Calibri"/>
          <w:b/>
          <w:bCs/>
          <w:sz w:val="18"/>
          <w:szCs w:val="18"/>
          <w:lang w:val="en-CA"/>
        </w:rPr>
        <w:t xml:space="preserve"> (defined below)</w:t>
      </w:r>
      <w:r w:rsidR="00047C44" w:rsidRPr="00075D2F">
        <w:rPr>
          <w:rFonts w:ascii="Calibri" w:hAnsi="Calibri" w:cs="Calibri"/>
          <w:b/>
          <w:bCs/>
          <w:sz w:val="18"/>
          <w:szCs w:val="18"/>
          <w:lang w:val="en-CA"/>
        </w:rPr>
        <w:t xml:space="preserve"> by INRS.  </w:t>
      </w:r>
    </w:p>
    <w:p w14:paraId="3B6CCA4D" w14:textId="77777777" w:rsidR="00E176CA" w:rsidRPr="00075D2F" w:rsidRDefault="00E176CA" w:rsidP="009E0049">
      <w:pPr>
        <w:spacing w:after="0"/>
        <w:jc w:val="both"/>
        <w:rPr>
          <w:rFonts w:ascii="Calibri" w:hAnsi="Calibri" w:cs="Calibri"/>
          <w:b/>
          <w:bCs/>
          <w:sz w:val="18"/>
          <w:szCs w:val="18"/>
          <w:lang w:val="en-CA"/>
        </w:rPr>
      </w:pPr>
    </w:p>
    <w:p w14:paraId="68251B9E" w14:textId="77777777" w:rsidR="00E176CA" w:rsidRPr="00075D2F" w:rsidRDefault="00E176CA" w:rsidP="009E0049">
      <w:pPr>
        <w:numPr>
          <w:ilvl w:val="0"/>
          <w:numId w:val="1"/>
        </w:numPr>
        <w:spacing w:after="0"/>
        <w:jc w:val="both"/>
        <w:rPr>
          <w:rFonts w:ascii="Calibri" w:hAnsi="Calibri" w:cs="Calibri"/>
          <w:b/>
          <w:bCs/>
          <w:sz w:val="18"/>
          <w:szCs w:val="18"/>
          <w:lang w:val="en-CA"/>
        </w:rPr>
        <w:sectPr w:rsidR="00E176CA" w:rsidRPr="00075D2F" w:rsidSect="00CE6AE3">
          <w:headerReference w:type="default" r:id="rId10"/>
          <w:pgSz w:w="12240" w:h="15840"/>
          <w:pgMar w:top="1440" w:right="1080" w:bottom="1440" w:left="1080" w:header="567" w:footer="708" w:gutter="0"/>
          <w:cols w:space="708"/>
          <w:docGrid w:linePitch="360"/>
        </w:sectPr>
      </w:pPr>
    </w:p>
    <w:p w14:paraId="26F34E52" w14:textId="3CC41721" w:rsidR="00047C44" w:rsidRPr="00075D2F"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Definitions</w:t>
      </w:r>
      <w:r w:rsidRPr="00075D2F">
        <w:rPr>
          <w:rFonts w:ascii="Calibri" w:hAnsi="Calibri" w:cs="Calibri"/>
          <w:sz w:val="18"/>
          <w:szCs w:val="18"/>
          <w:lang w:val="en-CA"/>
        </w:rPr>
        <w:t xml:space="preserve">. In these </w:t>
      </w:r>
      <w:r w:rsidR="0016152E" w:rsidRPr="00075D2F">
        <w:rPr>
          <w:rFonts w:ascii="Calibri" w:hAnsi="Calibri" w:cs="Calibri"/>
          <w:sz w:val="18"/>
          <w:szCs w:val="18"/>
          <w:lang w:val="en-CA"/>
        </w:rPr>
        <w:t>SPT</w:t>
      </w:r>
      <w:r w:rsidR="0062571A" w:rsidRPr="00075D2F">
        <w:rPr>
          <w:rFonts w:ascii="Calibri" w:hAnsi="Calibri" w:cs="Calibri"/>
          <w:sz w:val="18"/>
          <w:szCs w:val="18"/>
          <w:lang w:val="en-CA"/>
        </w:rPr>
        <w:t>s</w:t>
      </w:r>
      <w:r w:rsidRPr="00075D2F">
        <w:rPr>
          <w:rFonts w:ascii="Calibri" w:hAnsi="Calibri" w:cs="Calibri"/>
          <w:sz w:val="18"/>
          <w:szCs w:val="18"/>
          <w:lang w:val="en-CA"/>
        </w:rPr>
        <w:t>, the following definitions apply:</w:t>
      </w:r>
    </w:p>
    <w:p w14:paraId="33AB8324" w14:textId="1C1474AB" w:rsidR="00B5037A" w:rsidRPr="00075D2F" w:rsidRDefault="00047C44" w:rsidP="009E0049">
      <w:pPr>
        <w:numPr>
          <w:ilvl w:val="1"/>
          <w:numId w:val="1"/>
        </w:numPr>
        <w:tabs>
          <w:tab w:val="clear" w:pos="1440"/>
        </w:tabs>
        <w:spacing w:after="0"/>
        <w:ind w:left="709" w:hanging="283"/>
        <w:jc w:val="both"/>
        <w:rPr>
          <w:rFonts w:ascii="Calibri" w:hAnsi="Calibri" w:cs="Calibri"/>
          <w:sz w:val="18"/>
          <w:szCs w:val="18"/>
          <w:lang w:val="en-CA"/>
        </w:rPr>
      </w:pPr>
      <w:r w:rsidRPr="00075D2F">
        <w:rPr>
          <w:rFonts w:ascii="Calibri" w:hAnsi="Calibri" w:cs="Calibri"/>
          <w:sz w:val="18"/>
          <w:szCs w:val="18"/>
          <w:lang w:val="en-CA"/>
        </w:rPr>
        <w:t>“</w:t>
      </w:r>
      <w:r w:rsidR="0016152E" w:rsidRPr="00075D2F">
        <w:rPr>
          <w:rFonts w:ascii="Calibri" w:hAnsi="Calibri" w:cs="Calibri"/>
          <w:sz w:val="18"/>
          <w:szCs w:val="18"/>
          <w:lang w:val="en-CA"/>
        </w:rPr>
        <w:t>Client</w:t>
      </w:r>
      <w:r w:rsidRPr="00075D2F">
        <w:rPr>
          <w:rFonts w:ascii="Calibri" w:hAnsi="Calibri" w:cs="Calibri"/>
          <w:sz w:val="18"/>
          <w:szCs w:val="18"/>
          <w:lang w:val="en-CA"/>
        </w:rPr>
        <w:t xml:space="preserve">” means </w:t>
      </w:r>
      <w:r w:rsidR="0016152E" w:rsidRPr="00075D2F">
        <w:rPr>
          <w:rFonts w:ascii="Calibri" w:hAnsi="Calibri" w:cs="Calibri"/>
          <w:sz w:val="18"/>
          <w:szCs w:val="18"/>
          <w:lang w:val="en-CA"/>
        </w:rPr>
        <w:t>the company/organisation requesting Services/Analysis from INR</w:t>
      </w:r>
      <w:r w:rsidR="00563617" w:rsidRPr="00075D2F">
        <w:rPr>
          <w:rFonts w:ascii="Calibri" w:hAnsi="Calibri" w:cs="Calibri"/>
          <w:sz w:val="18"/>
          <w:szCs w:val="18"/>
          <w:lang w:val="en-CA"/>
        </w:rPr>
        <w:t>S.</w:t>
      </w:r>
    </w:p>
    <w:p w14:paraId="1646E4DB" w14:textId="274CC9FF" w:rsidR="00B5037A" w:rsidRPr="00075D2F" w:rsidRDefault="00047C44" w:rsidP="009E0049">
      <w:pPr>
        <w:numPr>
          <w:ilvl w:val="1"/>
          <w:numId w:val="1"/>
        </w:numPr>
        <w:tabs>
          <w:tab w:val="clear" w:pos="1440"/>
        </w:tabs>
        <w:spacing w:after="0"/>
        <w:ind w:left="709" w:hanging="283"/>
        <w:jc w:val="both"/>
        <w:rPr>
          <w:rFonts w:ascii="Calibri" w:hAnsi="Calibri" w:cs="Calibri"/>
          <w:sz w:val="18"/>
          <w:szCs w:val="18"/>
          <w:lang w:val="en-CA"/>
        </w:rPr>
      </w:pPr>
      <w:r w:rsidRPr="00075D2F">
        <w:rPr>
          <w:rFonts w:ascii="Calibri" w:hAnsi="Calibri" w:cs="Calibri"/>
          <w:sz w:val="18"/>
          <w:szCs w:val="18"/>
          <w:lang w:val="en-CA"/>
        </w:rPr>
        <w:t>“Deliverable” means any deliverable or other product result</w:t>
      </w:r>
      <w:r w:rsidR="00D065BC" w:rsidRPr="00075D2F">
        <w:rPr>
          <w:rFonts w:ascii="Calibri" w:hAnsi="Calibri" w:cs="Calibri"/>
          <w:sz w:val="18"/>
          <w:szCs w:val="18"/>
          <w:lang w:val="en-CA"/>
        </w:rPr>
        <w:t>ing</w:t>
      </w:r>
      <w:r w:rsidRPr="00075D2F">
        <w:rPr>
          <w:rFonts w:ascii="Calibri" w:hAnsi="Calibri" w:cs="Calibri"/>
          <w:sz w:val="18"/>
          <w:szCs w:val="18"/>
          <w:lang w:val="en-CA"/>
        </w:rPr>
        <w:t xml:space="preserve"> from Services</w:t>
      </w:r>
      <w:r w:rsidR="0016152E" w:rsidRPr="00075D2F">
        <w:rPr>
          <w:rFonts w:ascii="Calibri" w:hAnsi="Calibri" w:cs="Calibri"/>
          <w:sz w:val="18"/>
          <w:szCs w:val="18"/>
          <w:lang w:val="en-CA"/>
        </w:rPr>
        <w:t>/Analysis</w:t>
      </w:r>
      <w:r w:rsidRPr="00075D2F">
        <w:rPr>
          <w:rFonts w:ascii="Calibri" w:hAnsi="Calibri" w:cs="Calibri"/>
          <w:sz w:val="18"/>
          <w:szCs w:val="18"/>
          <w:lang w:val="en-CA"/>
        </w:rPr>
        <w:t>, and any related materials, data, documentation</w:t>
      </w:r>
      <w:r w:rsidR="0016152E" w:rsidRPr="00075D2F">
        <w:rPr>
          <w:rFonts w:ascii="Calibri" w:hAnsi="Calibri" w:cs="Calibri"/>
          <w:sz w:val="18"/>
          <w:szCs w:val="18"/>
          <w:lang w:val="en-CA"/>
        </w:rPr>
        <w:t xml:space="preserve"> </w:t>
      </w:r>
      <w:r w:rsidRPr="00075D2F">
        <w:rPr>
          <w:rFonts w:ascii="Calibri" w:hAnsi="Calibri" w:cs="Calibri"/>
          <w:sz w:val="18"/>
          <w:szCs w:val="18"/>
          <w:lang w:val="en-CA"/>
        </w:rPr>
        <w:t xml:space="preserve">developed by </w:t>
      </w:r>
      <w:r w:rsidR="0016152E" w:rsidRPr="00075D2F">
        <w:rPr>
          <w:rFonts w:ascii="Calibri" w:hAnsi="Calibri" w:cs="Calibri"/>
          <w:sz w:val="18"/>
          <w:szCs w:val="18"/>
          <w:lang w:val="en-CA"/>
        </w:rPr>
        <w:t>INRS</w:t>
      </w:r>
      <w:r w:rsidRPr="00075D2F">
        <w:rPr>
          <w:rFonts w:ascii="Calibri" w:hAnsi="Calibri" w:cs="Calibri"/>
          <w:sz w:val="18"/>
          <w:szCs w:val="18"/>
          <w:lang w:val="en-CA"/>
        </w:rPr>
        <w:t xml:space="preserve"> pursuant to such </w:t>
      </w:r>
      <w:r w:rsidR="007F1BC4" w:rsidRPr="00075D2F">
        <w:rPr>
          <w:rFonts w:ascii="Calibri" w:hAnsi="Calibri" w:cs="Calibri"/>
          <w:sz w:val="18"/>
          <w:szCs w:val="18"/>
          <w:lang w:val="en-CA"/>
        </w:rPr>
        <w:t>Services/Analysi</w:t>
      </w:r>
      <w:r w:rsidR="00563617" w:rsidRPr="00075D2F">
        <w:rPr>
          <w:rFonts w:ascii="Calibri" w:hAnsi="Calibri" w:cs="Calibri"/>
          <w:sz w:val="18"/>
          <w:szCs w:val="18"/>
          <w:lang w:val="en-CA"/>
        </w:rPr>
        <w:t>s.</w:t>
      </w:r>
    </w:p>
    <w:p w14:paraId="481FE655" w14:textId="0A308163" w:rsidR="00B5037A" w:rsidRPr="00075D2F" w:rsidRDefault="00047C44" w:rsidP="009E0049">
      <w:pPr>
        <w:numPr>
          <w:ilvl w:val="1"/>
          <w:numId w:val="1"/>
        </w:numPr>
        <w:tabs>
          <w:tab w:val="clear" w:pos="1440"/>
        </w:tabs>
        <w:spacing w:after="0"/>
        <w:ind w:left="709" w:hanging="283"/>
        <w:jc w:val="both"/>
        <w:rPr>
          <w:rFonts w:ascii="Calibri" w:hAnsi="Calibri" w:cs="Calibri"/>
          <w:sz w:val="18"/>
          <w:szCs w:val="18"/>
          <w:lang w:val="en-CA"/>
        </w:rPr>
      </w:pPr>
      <w:r w:rsidRPr="00075D2F">
        <w:rPr>
          <w:rFonts w:ascii="Calibri" w:hAnsi="Calibri" w:cs="Calibri"/>
          <w:sz w:val="18"/>
          <w:szCs w:val="18"/>
          <w:lang w:val="en-CA"/>
        </w:rPr>
        <w:t>“Delivery Date” means the date of</w:t>
      </w:r>
      <w:r w:rsidR="00A81779" w:rsidRPr="00075D2F">
        <w:rPr>
          <w:rFonts w:ascii="Calibri" w:hAnsi="Calibri" w:cs="Calibri"/>
          <w:sz w:val="18"/>
          <w:szCs w:val="18"/>
          <w:lang w:val="en-CA"/>
        </w:rPr>
        <w:t xml:space="preserve"> delivery of</w:t>
      </w:r>
      <w:r w:rsidRPr="00075D2F">
        <w:rPr>
          <w:rFonts w:ascii="Calibri" w:hAnsi="Calibri" w:cs="Calibri"/>
          <w:sz w:val="18"/>
          <w:szCs w:val="18"/>
          <w:lang w:val="en-CA"/>
        </w:rPr>
        <w:t xml:space="preserve"> </w:t>
      </w:r>
      <w:r w:rsidR="00AB4C89" w:rsidRPr="00075D2F">
        <w:rPr>
          <w:rFonts w:ascii="Calibri" w:hAnsi="Calibri" w:cs="Calibri"/>
          <w:sz w:val="18"/>
          <w:szCs w:val="18"/>
          <w:lang w:val="en-CA"/>
        </w:rPr>
        <w:t>the Deliverables</w:t>
      </w:r>
      <w:r w:rsidR="005A2D57" w:rsidRPr="00075D2F">
        <w:rPr>
          <w:rFonts w:ascii="Calibri" w:hAnsi="Calibri" w:cs="Calibri"/>
          <w:sz w:val="18"/>
          <w:szCs w:val="18"/>
          <w:lang w:val="en-CA"/>
        </w:rPr>
        <w:t xml:space="preserve"> as determined by INRS</w:t>
      </w:r>
      <w:r w:rsidRPr="00075D2F">
        <w:rPr>
          <w:rFonts w:ascii="Calibri" w:hAnsi="Calibri" w:cs="Calibri"/>
          <w:sz w:val="18"/>
          <w:szCs w:val="18"/>
          <w:lang w:val="en-CA"/>
        </w:rPr>
        <w:t>.</w:t>
      </w:r>
    </w:p>
    <w:p w14:paraId="0707A9D8" w14:textId="77777777" w:rsidR="000D3F71" w:rsidRPr="00075D2F" w:rsidRDefault="00047C44" w:rsidP="009E0049">
      <w:pPr>
        <w:numPr>
          <w:ilvl w:val="1"/>
          <w:numId w:val="1"/>
        </w:numPr>
        <w:tabs>
          <w:tab w:val="clear" w:pos="1440"/>
        </w:tabs>
        <w:spacing w:after="0"/>
        <w:ind w:left="709" w:hanging="283"/>
        <w:jc w:val="both"/>
        <w:rPr>
          <w:rFonts w:ascii="Calibri" w:hAnsi="Calibri" w:cs="Calibri"/>
          <w:sz w:val="18"/>
          <w:szCs w:val="18"/>
          <w:lang w:val="en-CA"/>
        </w:rPr>
      </w:pPr>
      <w:r w:rsidRPr="00075D2F">
        <w:rPr>
          <w:rFonts w:ascii="Calibri" w:hAnsi="Calibri" w:cs="Calibri"/>
          <w:sz w:val="18"/>
          <w:szCs w:val="18"/>
          <w:lang w:val="en-CA"/>
        </w:rPr>
        <w:t>“Intellectual Property Rights” means all intellectual and industrial property rights and rights of a similar nature including all rights in and to, patents including all issued patents and pending applications therefore and patents which may be issued therefrom (including divisions, reissues, re-examinations, continuations and continuations-in-part); trade-marks; copyrights; industrial design rights; rights pertaining to trade secrets and confidential information; publicity rights; personality rights; moral rights; and other intellectual property rights whether registered or not and all applications, registrations, renewals and extensions pertaining to the foregoing.</w:t>
      </w:r>
    </w:p>
    <w:p w14:paraId="797D2FE6" w14:textId="77777777" w:rsidR="000D3F71" w:rsidRPr="00075D2F" w:rsidRDefault="005F6AF7" w:rsidP="009E0049">
      <w:pPr>
        <w:numPr>
          <w:ilvl w:val="1"/>
          <w:numId w:val="1"/>
        </w:numPr>
        <w:tabs>
          <w:tab w:val="clear" w:pos="1440"/>
        </w:tabs>
        <w:spacing w:after="0"/>
        <w:ind w:left="709" w:hanging="283"/>
        <w:jc w:val="both"/>
        <w:rPr>
          <w:rFonts w:ascii="Calibri" w:hAnsi="Calibri" w:cs="Calibri"/>
          <w:sz w:val="18"/>
          <w:szCs w:val="18"/>
          <w:lang w:val="en-CA"/>
        </w:rPr>
      </w:pPr>
      <w:r w:rsidRPr="00075D2F">
        <w:rPr>
          <w:rFonts w:ascii="Calibri" w:hAnsi="Calibri" w:cs="Calibri"/>
          <w:sz w:val="18"/>
          <w:szCs w:val="18"/>
          <w:lang w:val="en-CA"/>
        </w:rPr>
        <w:t xml:space="preserve">“Location”: means the </w:t>
      </w:r>
      <w:r w:rsidR="000B239F" w:rsidRPr="00075D2F">
        <w:rPr>
          <w:rFonts w:ascii="Calibri" w:hAnsi="Calibri" w:cs="Calibri"/>
          <w:sz w:val="18"/>
          <w:szCs w:val="18"/>
          <w:lang w:val="en-CA"/>
        </w:rPr>
        <w:t xml:space="preserve">following INRS laboratory situated at </w:t>
      </w:r>
      <w:sdt>
        <w:sdtPr>
          <w:rPr>
            <w:rFonts w:ascii="Calibri" w:hAnsi="Calibri" w:cs="Calibri"/>
            <w:sz w:val="18"/>
            <w:szCs w:val="18"/>
            <w:lang w:val="en-CA"/>
          </w:rPr>
          <w:id w:val="-470670304"/>
          <w:placeholder>
            <w:docPart w:val="DefaultPlaceholder_-1854013440"/>
          </w:placeholder>
          <w:showingPlcHdr/>
        </w:sdtPr>
        <w:sdtContent>
          <w:r w:rsidR="000B239F" w:rsidRPr="00075D2F">
            <w:rPr>
              <w:rStyle w:val="PlaceholderText"/>
              <w:rFonts w:ascii="Calibri" w:hAnsi="Calibri" w:cs="Calibri"/>
              <w:sz w:val="18"/>
              <w:szCs w:val="18"/>
            </w:rPr>
            <w:t>Cliquez ou appuyez ici pour entrer du texte.</w:t>
          </w:r>
        </w:sdtContent>
      </w:sdt>
      <w:r w:rsidR="000B239F" w:rsidRPr="00075D2F">
        <w:rPr>
          <w:rFonts w:ascii="Calibri" w:hAnsi="Calibri" w:cs="Calibri"/>
          <w:sz w:val="18"/>
          <w:szCs w:val="18"/>
          <w:lang w:val="en-CA"/>
        </w:rPr>
        <w:t>.</w:t>
      </w:r>
    </w:p>
    <w:p w14:paraId="45B4B6EE" w14:textId="5EA2A753" w:rsidR="000D3F71" w:rsidRPr="00075D2F" w:rsidRDefault="00047C44" w:rsidP="009E0049">
      <w:pPr>
        <w:numPr>
          <w:ilvl w:val="1"/>
          <w:numId w:val="1"/>
        </w:numPr>
        <w:tabs>
          <w:tab w:val="clear" w:pos="1440"/>
        </w:tabs>
        <w:spacing w:after="0"/>
        <w:ind w:left="709" w:hanging="283"/>
        <w:jc w:val="both"/>
        <w:rPr>
          <w:rFonts w:ascii="Calibri" w:hAnsi="Calibri" w:cs="Calibri"/>
          <w:sz w:val="18"/>
          <w:szCs w:val="18"/>
          <w:lang w:val="en-CA"/>
        </w:rPr>
      </w:pPr>
      <w:r w:rsidRPr="00075D2F">
        <w:rPr>
          <w:rFonts w:ascii="Calibri" w:hAnsi="Calibri" w:cs="Calibri"/>
          <w:sz w:val="18"/>
          <w:szCs w:val="18"/>
          <w:lang w:val="en-CA"/>
        </w:rPr>
        <w:t>“Services</w:t>
      </w:r>
      <w:r w:rsidR="0016152E" w:rsidRPr="00075D2F">
        <w:rPr>
          <w:rFonts w:ascii="Calibri" w:hAnsi="Calibri" w:cs="Calibri"/>
          <w:sz w:val="18"/>
          <w:szCs w:val="18"/>
          <w:lang w:val="en-CA"/>
        </w:rPr>
        <w:t>/Analysis</w:t>
      </w:r>
      <w:r w:rsidRPr="00075D2F">
        <w:rPr>
          <w:rFonts w:ascii="Calibri" w:hAnsi="Calibri" w:cs="Calibri"/>
          <w:sz w:val="18"/>
          <w:szCs w:val="18"/>
          <w:lang w:val="en-CA"/>
        </w:rPr>
        <w:t>” means any services</w:t>
      </w:r>
      <w:r w:rsidR="0016152E" w:rsidRPr="00075D2F">
        <w:rPr>
          <w:rFonts w:ascii="Calibri" w:hAnsi="Calibri" w:cs="Calibri"/>
          <w:sz w:val="18"/>
          <w:szCs w:val="18"/>
          <w:lang w:val="en-CA"/>
        </w:rPr>
        <w:t xml:space="preserve"> and/or analysis</w:t>
      </w:r>
      <w:r w:rsidRPr="00075D2F">
        <w:rPr>
          <w:rFonts w:ascii="Calibri" w:hAnsi="Calibri" w:cs="Calibri"/>
          <w:sz w:val="18"/>
          <w:szCs w:val="18"/>
          <w:lang w:val="en-CA"/>
        </w:rPr>
        <w:t xml:space="preserve"> to be provided by </w:t>
      </w:r>
      <w:r w:rsidR="0016152E" w:rsidRPr="00075D2F">
        <w:rPr>
          <w:rFonts w:ascii="Calibri" w:hAnsi="Calibri" w:cs="Calibri"/>
          <w:sz w:val="18"/>
          <w:szCs w:val="18"/>
          <w:lang w:val="en-CA"/>
        </w:rPr>
        <w:t>INRS</w:t>
      </w:r>
      <w:r w:rsidRPr="00075D2F">
        <w:rPr>
          <w:rFonts w:ascii="Calibri" w:hAnsi="Calibri" w:cs="Calibri"/>
          <w:sz w:val="18"/>
          <w:szCs w:val="18"/>
          <w:lang w:val="en-CA"/>
        </w:rPr>
        <w:t xml:space="preserve"> </w:t>
      </w:r>
      <w:r w:rsidR="002A3521" w:rsidRPr="00075D2F">
        <w:rPr>
          <w:rFonts w:ascii="Calibri" w:hAnsi="Calibri" w:cs="Calibri"/>
          <w:sz w:val="18"/>
          <w:szCs w:val="18"/>
          <w:lang w:val="en-CA"/>
        </w:rPr>
        <w:t>to Clien</w:t>
      </w:r>
      <w:r w:rsidR="00153C6F" w:rsidRPr="00075D2F">
        <w:rPr>
          <w:rFonts w:ascii="Calibri" w:hAnsi="Calibri" w:cs="Calibri"/>
          <w:sz w:val="18"/>
          <w:szCs w:val="18"/>
          <w:lang w:val="en-CA"/>
        </w:rPr>
        <w:t>t</w:t>
      </w:r>
      <w:r w:rsidRPr="00075D2F">
        <w:rPr>
          <w:rFonts w:ascii="Calibri" w:hAnsi="Calibri" w:cs="Calibri"/>
          <w:sz w:val="18"/>
          <w:szCs w:val="18"/>
          <w:lang w:val="en-CA"/>
        </w:rPr>
        <w:t>.</w:t>
      </w:r>
    </w:p>
    <w:p w14:paraId="1CAF2E9F" w14:textId="4D34AFB6" w:rsidR="00047C44" w:rsidRPr="00075D2F" w:rsidRDefault="00047C44" w:rsidP="009E0049">
      <w:pPr>
        <w:numPr>
          <w:ilvl w:val="1"/>
          <w:numId w:val="1"/>
        </w:numPr>
        <w:tabs>
          <w:tab w:val="clear" w:pos="1440"/>
        </w:tabs>
        <w:spacing w:after="0"/>
        <w:ind w:left="709" w:hanging="283"/>
        <w:jc w:val="both"/>
        <w:rPr>
          <w:rFonts w:ascii="Calibri" w:hAnsi="Calibri" w:cs="Calibri"/>
          <w:sz w:val="18"/>
          <w:szCs w:val="18"/>
          <w:lang w:val="en-CA"/>
        </w:rPr>
      </w:pPr>
      <w:r w:rsidRPr="00075D2F">
        <w:rPr>
          <w:rFonts w:ascii="Calibri" w:hAnsi="Calibri" w:cs="Calibri"/>
          <w:sz w:val="18"/>
          <w:szCs w:val="18"/>
          <w:lang w:val="en-CA"/>
        </w:rPr>
        <w:t xml:space="preserve">“Specifications” means the requirements, </w:t>
      </w:r>
      <w:proofErr w:type="gramStart"/>
      <w:r w:rsidRPr="00075D2F">
        <w:rPr>
          <w:rFonts w:ascii="Calibri" w:hAnsi="Calibri" w:cs="Calibri"/>
          <w:sz w:val="18"/>
          <w:szCs w:val="18"/>
          <w:lang w:val="en-CA"/>
        </w:rPr>
        <w:t>attributes</w:t>
      </w:r>
      <w:proofErr w:type="gramEnd"/>
      <w:r w:rsidRPr="00075D2F">
        <w:rPr>
          <w:rFonts w:ascii="Calibri" w:hAnsi="Calibri" w:cs="Calibri"/>
          <w:sz w:val="18"/>
          <w:szCs w:val="18"/>
          <w:lang w:val="en-CA"/>
        </w:rPr>
        <w:t xml:space="preserve"> and specifications for the Service</w:t>
      </w:r>
      <w:r w:rsidR="00AA7D33" w:rsidRPr="00075D2F">
        <w:rPr>
          <w:rFonts w:ascii="Calibri" w:hAnsi="Calibri" w:cs="Calibri"/>
          <w:sz w:val="18"/>
          <w:szCs w:val="18"/>
          <w:lang w:val="en-CA"/>
        </w:rPr>
        <w:t>s</w:t>
      </w:r>
      <w:r w:rsidR="002A3521" w:rsidRPr="00075D2F">
        <w:rPr>
          <w:rFonts w:ascii="Calibri" w:hAnsi="Calibri" w:cs="Calibri"/>
          <w:sz w:val="18"/>
          <w:szCs w:val="18"/>
          <w:lang w:val="en-CA"/>
        </w:rPr>
        <w:t>/Analysi</w:t>
      </w:r>
      <w:r w:rsidRPr="00075D2F">
        <w:rPr>
          <w:rFonts w:ascii="Calibri" w:hAnsi="Calibri" w:cs="Calibri"/>
          <w:sz w:val="18"/>
          <w:szCs w:val="18"/>
          <w:lang w:val="en-CA"/>
        </w:rPr>
        <w:t>s</w:t>
      </w:r>
      <w:r w:rsidR="00153C6F" w:rsidRPr="00075D2F">
        <w:rPr>
          <w:rFonts w:ascii="Calibri" w:hAnsi="Calibri" w:cs="Calibri"/>
          <w:sz w:val="18"/>
          <w:szCs w:val="18"/>
          <w:lang w:val="en-CA"/>
        </w:rPr>
        <w:t xml:space="preserve">. </w:t>
      </w:r>
      <w:r w:rsidRPr="00075D2F">
        <w:rPr>
          <w:rFonts w:ascii="Calibri" w:hAnsi="Calibri" w:cs="Calibri"/>
          <w:sz w:val="18"/>
          <w:szCs w:val="18"/>
          <w:lang w:val="en-CA"/>
        </w:rPr>
        <w:t xml:space="preserve">Specifications also </w:t>
      </w:r>
      <w:proofErr w:type="gramStart"/>
      <w:r w:rsidRPr="00075D2F">
        <w:rPr>
          <w:rFonts w:ascii="Calibri" w:hAnsi="Calibri" w:cs="Calibri"/>
          <w:sz w:val="18"/>
          <w:szCs w:val="18"/>
          <w:lang w:val="en-CA"/>
        </w:rPr>
        <w:t>include</w:t>
      </w:r>
      <w:r w:rsidR="002A3521" w:rsidRPr="00075D2F">
        <w:rPr>
          <w:rFonts w:ascii="Calibri" w:hAnsi="Calibri" w:cs="Calibri"/>
          <w:sz w:val="18"/>
          <w:szCs w:val="18"/>
          <w:lang w:val="en-CA"/>
        </w:rPr>
        <w:t>, as the case may be</w:t>
      </w:r>
      <w:proofErr w:type="gramEnd"/>
      <w:r w:rsidRPr="00075D2F">
        <w:rPr>
          <w:rFonts w:ascii="Calibri" w:hAnsi="Calibri" w:cs="Calibri"/>
          <w:sz w:val="18"/>
          <w:szCs w:val="18"/>
          <w:lang w:val="en-CA"/>
        </w:rPr>
        <w:t xml:space="preserve">: (a) documentation published by </w:t>
      </w:r>
      <w:r w:rsidR="002A3521" w:rsidRPr="00075D2F">
        <w:rPr>
          <w:rFonts w:ascii="Calibri" w:hAnsi="Calibri" w:cs="Calibri"/>
          <w:sz w:val="18"/>
          <w:szCs w:val="18"/>
          <w:lang w:val="en-CA"/>
        </w:rPr>
        <w:t>INRS</w:t>
      </w:r>
      <w:r w:rsidRPr="00075D2F">
        <w:rPr>
          <w:rFonts w:ascii="Calibri" w:hAnsi="Calibri" w:cs="Calibri"/>
          <w:sz w:val="18"/>
          <w:szCs w:val="18"/>
          <w:lang w:val="en-CA"/>
        </w:rPr>
        <w:t xml:space="preserve"> relating to the Services</w:t>
      </w:r>
      <w:r w:rsidR="002A3521" w:rsidRPr="00075D2F">
        <w:rPr>
          <w:rFonts w:ascii="Calibri" w:hAnsi="Calibri" w:cs="Calibri"/>
          <w:sz w:val="18"/>
          <w:szCs w:val="18"/>
          <w:lang w:val="en-CA"/>
        </w:rPr>
        <w:t>/Analysis</w:t>
      </w:r>
      <w:r w:rsidRPr="00075D2F">
        <w:rPr>
          <w:rFonts w:ascii="Calibri" w:hAnsi="Calibri" w:cs="Calibri"/>
          <w:sz w:val="18"/>
          <w:szCs w:val="18"/>
          <w:lang w:val="en-CA"/>
        </w:rPr>
        <w:t>; (</w:t>
      </w:r>
      <w:r w:rsidR="002A3521" w:rsidRPr="00075D2F">
        <w:rPr>
          <w:rFonts w:ascii="Calibri" w:hAnsi="Calibri" w:cs="Calibri"/>
          <w:sz w:val="18"/>
          <w:szCs w:val="18"/>
          <w:lang w:val="en-CA"/>
        </w:rPr>
        <w:t>b</w:t>
      </w:r>
      <w:r w:rsidRPr="00075D2F">
        <w:rPr>
          <w:rFonts w:ascii="Calibri" w:hAnsi="Calibri" w:cs="Calibri"/>
          <w:sz w:val="18"/>
          <w:szCs w:val="18"/>
          <w:lang w:val="en-CA"/>
        </w:rPr>
        <w:t>) standards or levels of service performance for Services</w:t>
      </w:r>
      <w:r w:rsidR="002A3521" w:rsidRPr="00075D2F">
        <w:rPr>
          <w:rFonts w:ascii="Calibri" w:hAnsi="Calibri" w:cs="Calibri"/>
          <w:sz w:val="18"/>
          <w:szCs w:val="18"/>
          <w:lang w:val="en-CA"/>
        </w:rPr>
        <w:t>/Analysis</w:t>
      </w:r>
      <w:r w:rsidRPr="00075D2F">
        <w:rPr>
          <w:rFonts w:ascii="Calibri" w:hAnsi="Calibri" w:cs="Calibri"/>
          <w:sz w:val="18"/>
          <w:szCs w:val="18"/>
          <w:lang w:val="en-CA"/>
        </w:rPr>
        <w:t>.</w:t>
      </w:r>
    </w:p>
    <w:p w14:paraId="663F7FBD" w14:textId="7686D022" w:rsidR="00047C44" w:rsidRPr="00075D2F" w:rsidRDefault="00047C44" w:rsidP="003522DC">
      <w:pPr>
        <w:numPr>
          <w:ilvl w:val="0"/>
          <w:numId w:val="1"/>
        </w:numPr>
        <w:tabs>
          <w:tab w:val="clear" w:pos="720"/>
          <w:tab w:val="num" w:pos="426"/>
          <w:tab w:val="num" w:pos="1440"/>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 xml:space="preserve">Delivery </w:t>
      </w:r>
      <w:r w:rsidR="002A3521" w:rsidRPr="00075D2F">
        <w:rPr>
          <w:rFonts w:ascii="Calibri" w:hAnsi="Calibri" w:cs="Calibri"/>
          <w:b/>
          <w:bCs/>
          <w:sz w:val="18"/>
          <w:szCs w:val="18"/>
          <w:lang w:val="en-CA"/>
        </w:rPr>
        <w:t xml:space="preserve">and performance of </w:t>
      </w:r>
      <w:r w:rsidRPr="00075D2F">
        <w:rPr>
          <w:rFonts w:ascii="Calibri" w:hAnsi="Calibri" w:cs="Calibri"/>
          <w:b/>
          <w:bCs/>
          <w:sz w:val="18"/>
          <w:szCs w:val="18"/>
          <w:lang w:val="en-CA"/>
        </w:rPr>
        <w:t>Services</w:t>
      </w:r>
      <w:r w:rsidR="002A3521" w:rsidRPr="00075D2F">
        <w:rPr>
          <w:rFonts w:ascii="Calibri" w:hAnsi="Calibri" w:cs="Calibri"/>
          <w:b/>
          <w:bCs/>
          <w:sz w:val="18"/>
          <w:szCs w:val="18"/>
          <w:lang w:val="en-CA"/>
        </w:rPr>
        <w:t>/Analysis</w:t>
      </w:r>
      <w:r w:rsidRPr="00075D2F">
        <w:rPr>
          <w:rFonts w:ascii="Calibri" w:hAnsi="Calibri" w:cs="Calibri"/>
          <w:sz w:val="18"/>
          <w:szCs w:val="18"/>
          <w:lang w:val="en-CA"/>
        </w:rPr>
        <w:t>.</w:t>
      </w:r>
      <w:r w:rsidR="001C3272" w:rsidRPr="00075D2F">
        <w:rPr>
          <w:rFonts w:ascii="Calibri" w:hAnsi="Calibri" w:cs="Calibri"/>
          <w:sz w:val="18"/>
          <w:szCs w:val="18"/>
          <w:lang w:val="en-CA"/>
        </w:rPr>
        <w:t xml:space="preserve"> </w:t>
      </w:r>
      <w:r w:rsidR="000172A7" w:rsidRPr="00075D2F">
        <w:rPr>
          <w:rFonts w:ascii="Calibri" w:hAnsi="Calibri" w:cs="Calibri"/>
          <w:sz w:val="18"/>
          <w:szCs w:val="18"/>
          <w:lang w:val="en-CA"/>
        </w:rPr>
        <w:t xml:space="preserve">(a) </w:t>
      </w:r>
      <w:r w:rsidR="002A3521" w:rsidRPr="00075D2F">
        <w:rPr>
          <w:rFonts w:ascii="Calibri" w:hAnsi="Calibri" w:cs="Calibri"/>
          <w:sz w:val="18"/>
          <w:szCs w:val="18"/>
          <w:lang w:val="en-CA"/>
        </w:rPr>
        <w:t>INRS</w:t>
      </w:r>
      <w:r w:rsidRPr="00075D2F">
        <w:rPr>
          <w:rFonts w:ascii="Calibri" w:hAnsi="Calibri" w:cs="Calibri"/>
          <w:sz w:val="18"/>
          <w:szCs w:val="18"/>
          <w:lang w:val="en-CA"/>
        </w:rPr>
        <w:t xml:space="preserve"> agrees to supply and to perform the Services</w:t>
      </w:r>
      <w:r w:rsidR="002A3521" w:rsidRPr="00075D2F">
        <w:rPr>
          <w:rFonts w:ascii="Calibri" w:hAnsi="Calibri" w:cs="Calibri"/>
          <w:sz w:val="18"/>
          <w:szCs w:val="18"/>
          <w:lang w:val="en-CA"/>
        </w:rPr>
        <w:t>/Analysis</w:t>
      </w:r>
      <w:r w:rsidRPr="00075D2F">
        <w:rPr>
          <w:rFonts w:ascii="Calibri" w:hAnsi="Calibri" w:cs="Calibri"/>
          <w:sz w:val="18"/>
          <w:szCs w:val="18"/>
          <w:lang w:val="en-CA"/>
        </w:rPr>
        <w:t>, as applicable, on the terms set out in this Agreement.</w:t>
      </w:r>
      <w:r w:rsidR="005A5448" w:rsidRPr="00075D2F">
        <w:rPr>
          <w:rFonts w:ascii="Calibri" w:hAnsi="Calibri" w:cs="Calibri"/>
          <w:sz w:val="18"/>
          <w:szCs w:val="18"/>
          <w:lang w:val="en-CA"/>
        </w:rPr>
        <w:t xml:space="preserve"> (</w:t>
      </w:r>
      <w:r w:rsidR="000172A7" w:rsidRPr="00075D2F">
        <w:rPr>
          <w:rFonts w:ascii="Calibri" w:hAnsi="Calibri" w:cs="Calibri"/>
          <w:sz w:val="18"/>
          <w:szCs w:val="18"/>
          <w:lang w:val="en-CA"/>
        </w:rPr>
        <w:t>b)</w:t>
      </w:r>
      <w:r w:rsidR="00680966" w:rsidRPr="00075D2F">
        <w:rPr>
          <w:rFonts w:ascii="Calibri" w:hAnsi="Calibri" w:cs="Calibri"/>
          <w:sz w:val="18"/>
          <w:szCs w:val="18"/>
          <w:lang w:val="en-CA"/>
        </w:rPr>
        <w:t xml:space="preserve"> INRS shall perform all Services/Analysis exercising that degree of professionalism, skill, diligence, care, prudence, judgment, and integrity which would reasonably be expected from a skilled and experienced service provider providing services under the same or similar circumstances as the Services/Analysis under this Agreement, using only personnel with the skills, training, expertise, and qualifications necessary to carry out the Services/Analysis. (c) </w:t>
      </w:r>
      <w:r w:rsidR="00000E5C" w:rsidRPr="00075D2F">
        <w:rPr>
          <w:rFonts w:ascii="Calibri" w:hAnsi="Calibri" w:cs="Calibri"/>
          <w:sz w:val="18"/>
          <w:szCs w:val="18"/>
          <w:lang w:val="en-CA"/>
        </w:rPr>
        <w:t xml:space="preserve">The Client acknowledges and agrees that, to the extent permitted by applicable law, </w:t>
      </w:r>
      <w:r w:rsidR="00000E5C" w:rsidRPr="00075D2F">
        <w:rPr>
          <w:rFonts w:ascii="Calibri" w:hAnsi="Calibri" w:cs="Calibri"/>
          <w:sz w:val="18"/>
          <w:szCs w:val="18"/>
          <w:lang w:val="en-CA"/>
        </w:rPr>
        <w:t>notwithstanding any other statement in the Agreement or in any license derived therefrom: (</w:t>
      </w:r>
      <w:proofErr w:type="spellStart"/>
      <w:r w:rsidR="00000E5C" w:rsidRPr="00075D2F">
        <w:rPr>
          <w:rFonts w:ascii="Calibri" w:hAnsi="Calibri" w:cs="Calibri"/>
          <w:sz w:val="18"/>
          <w:szCs w:val="18"/>
          <w:lang w:val="en-CA"/>
        </w:rPr>
        <w:t>i</w:t>
      </w:r>
      <w:proofErr w:type="spellEnd"/>
      <w:r w:rsidR="00000E5C" w:rsidRPr="00075D2F">
        <w:rPr>
          <w:rFonts w:ascii="Calibri" w:hAnsi="Calibri" w:cs="Calibri"/>
          <w:sz w:val="18"/>
          <w:szCs w:val="18"/>
          <w:lang w:val="en-CA"/>
        </w:rPr>
        <w:t>) INRS has no obligation of result in connection with the Services/Analysis; (ii) INRS makes no representations or warranties of any kind, statutory, contractual, or otherwise, including, without limitation, any warranty of fitness for a particular purpose, with respect to the Deliverable(s)</w:t>
      </w:r>
      <w:r w:rsidRPr="00075D2F">
        <w:rPr>
          <w:rFonts w:ascii="Calibri" w:hAnsi="Calibri" w:cs="Calibri"/>
          <w:sz w:val="18"/>
          <w:szCs w:val="18"/>
          <w:lang w:val="en-CA"/>
        </w:rPr>
        <w:t>.</w:t>
      </w:r>
      <w:r w:rsidR="006D5161" w:rsidRPr="00075D2F">
        <w:rPr>
          <w:rFonts w:ascii="Calibri" w:hAnsi="Calibri" w:cs="Calibri"/>
          <w:sz w:val="18"/>
          <w:szCs w:val="18"/>
          <w:lang w:val="en-CA"/>
        </w:rPr>
        <w:t xml:space="preserve"> (d)</w:t>
      </w:r>
      <w:r w:rsidR="00072D06" w:rsidRPr="00075D2F">
        <w:rPr>
          <w:rFonts w:ascii="Calibri" w:hAnsi="Calibri" w:cs="Calibri"/>
          <w:sz w:val="18"/>
          <w:szCs w:val="18"/>
          <w:lang w:val="en-CA"/>
        </w:rPr>
        <w:t xml:space="preserve"> With respect to the foregoing</w:t>
      </w:r>
      <w:r w:rsidR="00811B1E" w:rsidRPr="00075D2F">
        <w:rPr>
          <w:rFonts w:ascii="Calibri" w:hAnsi="Calibri" w:cs="Calibri"/>
          <w:sz w:val="18"/>
          <w:szCs w:val="18"/>
          <w:lang w:val="en-CA"/>
        </w:rPr>
        <w:t xml:space="preserve"> </w:t>
      </w:r>
      <w:r w:rsidR="00D550E3" w:rsidRPr="00075D2F">
        <w:rPr>
          <w:rFonts w:ascii="Calibri" w:hAnsi="Calibri" w:cs="Calibri"/>
          <w:sz w:val="18"/>
          <w:szCs w:val="18"/>
          <w:lang w:val="en-CA"/>
        </w:rPr>
        <w:t>Services/Analysis</w:t>
      </w:r>
      <w:r w:rsidR="00072D06" w:rsidRPr="00075D2F">
        <w:rPr>
          <w:rFonts w:ascii="Calibri" w:hAnsi="Calibri" w:cs="Calibri"/>
          <w:sz w:val="18"/>
          <w:szCs w:val="18"/>
          <w:lang w:val="en-CA"/>
        </w:rPr>
        <w:t xml:space="preserve">, </w:t>
      </w:r>
      <w:r w:rsidR="00D550E3" w:rsidRPr="00075D2F">
        <w:rPr>
          <w:rFonts w:ascii="Calibri" w:hAnsi="Calibri" w:cs="Calibri"/>
          <w:sz w:val="18"/>
          <w:szCs w:val="18"/>
          <w:lang w:val="en-CA"/>
        </w:rPr>
        <w:t xml:space="preserve">INRS shall not be liable for any loss of revenue, </w:t>
      </w:r>
      <w:proofErr w:type="gramStart"/>
      <w:r w:rsidR="00D550E3" w:rsidRPr="00075D2F">
        <w:rPr>
          <w:rFonts w:ascii="Calibri" w:hAnsi="Calibri" w:cs="Calibri"/>
          <w:sz w:val="18"/>
          <w:szCs w:val="18"/>
          <w:lang w:val="en-CA"/>
        </w:rPr>
        <w:t>profits</w:t>
      </w:r>
      <w:proofErr w:type="gramEnd"/>
      <w:r w:rsidR="00D550E3" w:rsidRPr="00075D2F">
        <w:rPr>
          <w:rFonts w:ascii="Calibri" w:hAnsi="Calibri" w:cs="Calibri"/>
          <w:sz w:val="18"/>
          <w:szCs w:val="18"/>
          <w:lang w:val="en-CA"/>
        </w:rPr>
        <w:t xml:space="preserve"> or data, or for any diminution in value, or for any consequential or incidental, indirect, exemplary, special or punitive damages.</w:t>
      </w:r>
    </w:p>
    <w:p w14:paraId="46C89794" w14:textId="0CEBBA8C" w:rsidR="003A382A" w:rsidRPr="00075D2F" w:rsidRDefault="00627681"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 xml:space="preserve">Force Majeure. </w:t>
      </w:r>
      <w:r w:rsidR="003A382A" w:rsidRPr="00075D2F">
        <w:rPr>
          <w:rFonts w:ascii="Calibri" w:hAnsi="Calibri" w:cs="Calibri"/>
          <w:sz w:val="18"/>
          <w:szCs w:val="18"/>
          <w:lang w:val="en-CA"/>
        </w:rPr>
        <w:t>INRS</w:t>
      </w:r>
      <w:r w:rsidRPr="00075D2F">
        <w:rPr>
          <w:rFonts w:ascii="Calibri" w:hAnsi="Calibri" w:cs="Calibri"/>
          <w:sz w:val="18"/>
          <w:szCs w:val="18"/>
          <w:lang w:val="en-CA"/>
        </w:rPr>
        <w:t xml:space="preserve"> is not liable for any loss or damage suffered by </w:t>
      </w:r>
      <w:r w:rsidR="00FA6CCC">
        <w:rPr>
          <w:rFonts w:ascii="Calibri" w:hAnsi="Calibri" w:cs="Calibri"/>
          <w:sz w:val="18"/>
          <w:szCs w:val="18"/>
          <w:lang w:val="en-CA"/>
        </w:rPr>
        <w:t>the Client</w:t>
      </w:r>
      <w:r w:rsidRPr="00075D2F">
        <w:rPr>
          <w:rFonts w:ascii="Calibri" w:hAnsi="Calibri" w:cs="Calibri"/>
          <w:sz w:val="18"/>
          <w:szCs w:val="18"/>
          <w:lang w:val="en-CA"/>
        </w:rPr>
        <w:t xml:space="preserve"> resulting from a delay in performance of any obligation undertaken in the Agreement or from failure to perform when such delay or failure results from any unforeseeable and irresistible event, including any loss caused by an “Act of God”, by natural disasters, epidemics, pandemics, governmental actions, directives, orders and decrees, fire, war, insurrections, riots, terrorism, spontaneous labour stoppages or slowdowns, lockouts, electrical power outages or interruptions, </w:t>
      </w:r>
      <w:proofErr w:type="spellStart"/>
      <w:r w:rsidRPr="00075D2F">
        <w:rPr>
          <w:rFonts w:ascii="Calibri" w:hAnsi="Calibri" w:cs="Calibri"/>
          <w:sz w:val="18"/>
          <w:szCs w:val="18"/>
          <w:lang w:val="en-CA"/>
        </w:rPr>
        <w:t>cybertattacks</w:t>
      </w:r>
      <w:proofErr w:type="spellEnd"/>
      <w:r w:rsidRPr="00075D2F">
        <w:rPr>
          <w:rFonts w:ascii="Calibri" w:hAnsi="Calibri" w:cs="Calibri"/>
          <w:sz w:val="18"/>
          <w:szCs w:val="18"/>
          <w:lang w:val="en-CA"/>
        </w:rPr>
        <w:t xml:space="preserve"> or telecommunications </w:t>
      </w:r>
      <w:r w:rsidR="003A382A" w:rsidRPr="00075D2F">
        <w:rPr>
          <w:rFonts w:ascii="Calibri" w:hAnsi="Calibri" w:cs="Calibri"/>
          <w:sz w:val="18"/>
          <w:szCs w:val="18"/>
          <w:lang w:val="en-CA"/>
        </w:rPr>
        <w:t>disruptions.</w:t>
      </w:r>
    </w:p>
    <w:p w14:paraId="17D0A46D" w14:textId="38733065" w:rsidR="00047C44" w:rsidRPr="00075D2F" w:rsidRDefault="003A382A"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Price</w:t>
      </w:r>
      <w:r w:rsidR="00047C44" w:rsidRPr="00075D2F">
        <w:rPr>
          <w:rFonts w:ascii="Calibri" w:hAnsi="Calibri" w:cs="Calibri"/>
          <w:b/>
          <w:bCs/>
          <w:sz w:val="18"/>
          <w:szCs w:val="18"/>
          <w:lang w:val="en-CA"/>
        </w:rPr>
        <w:t>/Payment Terms</w:t>
      </w:r>
      <w:r w:rsidR="00047C44" w:rsidRPr="00075D2F">
        <w:rPr>
          <w:rFonts w:ascii="Calibri" w:hAnsi="Calibri" w:cs="Calibri"/>
          <w:sz w:val="18"/>
          <w:szCs w:val="18"/>
          <w:lang w:val="en-CA"/>
        </w:rPr>
        <w:t>. Prices for the Services</w:t>
      </w:r>
      <w:r w:rsidR="00652E10" w:rsidRPr="00075D2F">
        <w:rPr>
          <w:rFonts w:ascii="Calibri" w:hAnsi="Calibri" w:cs="Calibri"/>
          <w:sz w:val="18"/>
          <w:szCs w:val="18"/>
          <w:lang w:val="en-CA"/>
        </w:rPr>
        <w:t xml:space="preserve">/Analysis </w:t>
      </w:r>
      <w:r w:rsidR="00A37370" w:rsidRPr="00075D2F">
        <w:rPr>
          <w:rFonts w:ascii="Calibri" w:hAnsi="Calibri" w:cs="Calibri"/>
          <w:sz w:val="18"/>
          <w:szCs w:val="18"/>
          <w:lang w:val="en-CA"/>
        </w:rPr>
        <w:t>are as</w:t>
      </w:r>
      <w:r w:rsidR="00047C44" w:rsidRPr="00075D2F">
        <w:rPr>
          <w:rFonts w:ascii="Calibri" w:hAnsi="Calibri" w:cs="Calibri"/>
          <w:sz w:val="18"/>
          <w:szCs w:val="18"/>
          <w:lang w:val="en-CA"/>
        </w:rPr>
        <w:t xml:space="preserve"> set out</w:t>
      </w:r>
      <w:r w:rsidR="00BE4803" w:rsidRPr="00075D2F">
        <w:rPr>
          <w:rFonts w:ascii="Calibri" w:hAnsi="Calibri" w:cs="Calibri"/>
          <w:sz w:val="18"/>
          <w:szCs w:val="18"/>
          <w:lang w:val="en-CA"/>
        </w:rPr>
        <w:t xml:space="preserve"> and posted on </w:t>
      </w:r>
      <w:r w:rsidR="00A858B4" w:rsidRPr="00075D2F">
        <w:rPr>
          <w:rFonts w:ascii="Calibri" w:hAnsi="Calibri" w:cs="Calibri"/>
          <w:sz w:val="18"/>
          <w:szCs w:val="18"/>
          <w:lang w:val="en-CA"/>
        </w:rPr>
        <w:t>the IMCM</w:t>
      </w:r>
      <w:r w:rsidR="00FE22AE" w:rsidRPr="00075D2F">
        <w:rPr>
          <w:rFonts w:ascii="Calibri" w:hAnsi="Calibri" w:cs="Calibri"/>
          <w:sz w:val="18"/>
          <w:szCs w:val="18"/>
          <w:lang w:val="en-CA"/>
        </w:rPr>
        <w:t xml:space="preserve"> </w:t>
      </w:r>
      <w:r w:rsidR="009C397B" w:rsidRPr="00075D2F">
        <w:rPr>
          <w:rFonts w:ascii="Calibri" w:hAnsi="Calibri" w:cs="Calibri"/>
          <w:sz w:val="18"/>
          <w:szCs w:val="18"/>
          <w:lang w:val="en-CA"/>
        </w:rPr>
        <w:t>platform</w:t>
      </w:r>
      <w:r w:rsidR="00FE22AE" w:rsidRPr="00075D2F">
        <w:rPr>
          <w:rFonts w:ascii="Calibri" w:hAnsi="Calibri" w:cs="Calibri"/>
          <w:sz w:val="18"/>
          <w:szCs w:val="18"/>
          <w:lang w:val="en-CA"/>
        </w:rPr>
        <w:t xml:space="preserve"> website</w:t>
      </w:r>
      <w:r w:rsidR="00BE4803" w:rsidRPr="00075D2F">
        <w:rPr>
          <w:rFonts w:ascii="Calibri" w:hAnsi="Calibri" w:cs="Calibri"/>
          <w:sz w:val="18"/>
          <w:szCs w:val="18"/>
          <w:lang w:val="en-CA"/>
        </w:rPr>
        <w:t xml:space="preserve">. </w:t>
      </w:r>
      <w:r w:rsidR="00047C44" w:rsidRPr="00075D2F">
        <w:rPr>
          <w:rFonts w:ascii="Calibri" w:hAnsi="Calibri" w:cs="Calibri"/>
          <w:sz w:val="18"/>
          <w:szCs w:val="18"/>
          <w:lang w:val="en-CA"/>
        </w:rPr>
        <w:t xml:space="preserve"> </w:t>
      </w:r>
      <w:r w:rsidR="004E6D79" w:rsidRPr="00075D2F">
        <w:rPr>
          <w:rFonts w:ascii="Calibri" w:hAnsi="Calibri" w:cs="Calibri"/>
          <w:sz w:val="18"/>
          <w:szCs w:val="18"/>
          <w:lang w:val="en-CA"/>
        </w:rPr>
        <w:t>Client will be invoiced on quarterly basis.</w:t>
      </w:r>
      <w:r w:rsidR="001B0B9C" w:rsidRPr="00075D2F">
        <w:rPr>
          <w:rFonts w:ascii="Calibri" w:hAnsi="Calibri" w:cs="Calibri"/>
          <w:sz w:val="18"/>
          <w:szCs w:val="18"/>
          <w:lang w:val="en-CA"/>
        </w:rPr>
        <w:t xml:space="preserve"> Payment is</w:t>
      </w:r>
      <w:r w:rsidR="00A37370" w:rsidRPr="00075D2F">
        <w:rPr>
          <w:rFonts w:ascii="Calibri" w:hAnsi="Calibri" w:cs="Calibri"/>
          <w:sz w:val="18"/>
          <w:szCs w:val="18"/>
          <w:lang w:val="en-CA"/>
        </w:rPr>
        <w:t xml:space="preserve"> due upon reception of the invoice.</w:t>
      </w:r>
      <w:r w:rsidR="001B0B9C" w:rsidRPr="00075D2F">
        <w:rPr>
          <w:rFonts w:ascii="Calibri" w:hAnsi="Calibri" w:cs="Calibri"/>
          <w:sz w:val="18"/>
          <w:szCs w:val="18"/>
          <w:lang w:val="en-CA"/>
        </w:rPr>
        <w:t xml:space="preserve"> </w:t>
      </w:r>
    </w:p>
    <w:p w14:paraId="5FED047F" w14:textId="0CDD7039" w:rsidR="00047C44" w:rsidRPr="00075D2F"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Hazardous Materials</w:t>
      </w:r>
      <w:r w:rsidRPr="00075D2F">
        <w:rPr>
          <w:rFonts w:ascii="Calibri" w:hAnsi="Calibri" w:cs="Calibri"/>
          <w:sz w:val="18"/>
          <w:szCs w:val="18"/>
          <w:lang w:val="en-CA"/>
        </w:rPr>
        <w:t xml:space="preserve">. </w:t>
      </w:r>
      <w:r w:rsidR="008E4E9F" w:rsidRPr="00075D2F">
        <w:rPr>
          <w:rFonts w:ascii="Calibri" w:hAnsi="Calibri" w:cs="Calibri"/>
          <w:sz w:val="18"/>
          <w:szCs w:val="18"/>
          <w:lang w:val="en-CA"/>
        </w:rPr>
        <w:t>Client</w:t>
      </w:r>
      <w:r w:rsidRPr="00075D2F">
        <w:rPr>
          <w:rFonts w:ascii="Calibri" w:hAnsi="Calibri" w:cs="Calibri"/>
          <w:sz w:val="18"/>
          <w:szCs w:val="18"/>
          <w:lang w:val="en-CA"/>
        </w:rPr>
        <w:t xml:space="preserve"> agrees to provide, upon and as requested by </w:t>
      </w:r>
      <w:r w:rsidR="008E4E9F" w:rsidRPr="00075D2F">
        <w:rPr>
          <w:rFonts w:ascii="Calibri" w:hAnsi="Calibri" w:cs="Calibri"/>
          <w:sz w:val="18"/>
          <w:szCs w:val="18"/>
          <w:lang w:val="en-CA"/>
        </w:rPr>
        <w:t>INRS</w:t>
      </w:r>
      <w:r w:rsidRPr="00075D2F">
        <w:rPr>
          <w:rFonts w:ascii="Calibri" w:hAnsi="Calibri" w:cs="Calibri"/>
          <w:sz w:val="18"/>
          <w:szCs w:val="18"/>
          <w:lang w:val="en-CA"/>
        </w:rPr>
        <w:t xml:space="preserve">, to satisfy any applicable laws governing the use of any hazardous </w:t>
      </w:r>
      <w:r w:rsidR="0034519B">
        <w:rPr>
          <w:rFonts w:ascii="Calibri" w:hAnsi="Calibri" w:cs="Calibri"/>
          <w:sz w:val="18"/>
          <w:szCs w:val="18"/>
          <w:lang w:val="en-CA"/>
        </w:rPr>
        <w:t xml:space="preserve">materials </w:t>
      </w:r>
      <w:r w:rsidRPr="00075D2F">
        <w:rPr>
          <w:rFonts w:ascii="Calibri" w:hAnsi="Calibri" w:cs="Calibri"/>
          <w:sz w:val="18"/>
          <w:szCs w:val="18"/>
          <w:lang w:val="en-CA"/>
        </w:rPr>
        <w:t>either of the following: (a) all reasonably necessary documen</w:t>
      </w:r>
      <w:r w:rsidR="00773F63" w:rsidRPr="00075D2F">
        <w:rPr>
          <w:rFonts w:ascii="Calibri" w:hAnsi="Calibri" w:cs="Calibri"/>
          <w:sz w:val="18"/>
          <w:szCs w:val="18"/>
          <w:lang w:val="en-CA"/>
        </w:rPr>
        <w:t xml:space="preserve">t </w:t>
      </w:r>
      <w:r w:rsidR="00357C55" w:rsidRPr="00075D2F">
        <w:rPr>
          <w:rFonts w:ascii="Calibri" w:hAnsi="Calibri" w:cs="Calibri"/>
          <w:sz w:val="18"/>
          <w:szCs w:val="18"/>
          <w:lang w:val="en-CA"/>
        </w:rPr>
        <w:t>substance</w:t>
      </w:r>
      <w:r w:rsidR="00773F63" w:rsidRPr="00075D2F">
        <w:rPr>
          <w:rFonts w:ascii="Calibri" w:hAnsi="Calibri" w:cs="Calibri"/>
          <w:sz w:val="18"/>
          <w:szCs w:val="18"/>
          <w:lang w:val="en-CA"/>
        </w:rPr>
        <w:t xml:space="preserve"> </w:t>
      </w:r>
      <w:r w:rsidR="00357C55" w:rsidRPr="00075D2F">
        <w:rPr>
          <w:rFonts w:ascii="Calibri" w:hAnsi="Calibri" w:cs="Calibri"/>
          <w:sz w:val="18"/>
          <w:szCs w:val="18"/>
          <w:lang w:val="en-CA"/>
        </w:rPr>
        <w:t>by</w:t>
      </w:r>
      <w:r w:rsidR="00773F63" w:rsidRPr="00075D2F">
        <w:rPr>
          <w:rFonts w:ascii="Calibri" w:hAnsi="Calibri" w:cs="Calibri"/>
          <w:sz w:val="18"/>
          <w:szCs w:val="18"/>
          <w:lang w:val="en-CA"/>
        </w:rPr>
        <w:t xml:space="preserve"> substance material</w:t>
      </w:r>
      <w:r w:rsidRPr="00075D2F">
        <w:rPr>
          <w:rFonts w:ascii="Calibri" w:hAnsi="Calibri" w:cs="Calibri"/>
          <w:sz w:val="18"/>
          <w:szCs w:val="18"/>
          <w:lang w:val="en-CA"/>
        </w:rPr>
        <w:t xml:space="preserve"> composition, on a substance by substance basis, including quantity used of each substance</w:t>
      </w:r>
      <w:r w:rsidR="00600196" w:rsidRPr="00075D2F">
        <w:rPr>
          <w:rFonts w:ascii="Calibri" w:hAnsi="Calibri" w:cs="Calibri"/>
          <w:sz w:val="18"/>
          <w:szCs w:val="18"/>
          <w:lang w:val="en-CA"/>
        </w:rPr>
        <w:t xml:space="preserve"> </w:t>
      </w:r>
      <w:r w:rsidRPr="00075D2F">
        <w:rPr>
          <w:rFonts w:ascii="Calibri" w:hAnsi="Calibri" w:cs="Calibri"/>
          <w:sz w:val="18"/>
          <w:szCs w:val="18"/>
          <w:lang w:val="en-CA"/>
        </w:rPr>
        <w:t xml:space="preserve">(b) all reasonably necessary documentation </w:t>
      </w:r>
      <w:r w:rsidR="003F0960" w:rsidRPr="00075D2F">
        <w:rPr>
          <w:rFonts w:ascii="Calibri" w:hAnsi="Calibri" w:cs="Calibri"/>
          <w:sz w:val="18"/>
          <w:szCs w:val="18"/>
          <w:lang w:val="en-CA"/>
        </w:rPr>
        <w:t>to ensure proper handling of the material, sample and/or substances by INRS in providing the Services/Analysis</w:t>
      </w:r>
      <w:r w:rsidRPr="00075D2F">
        <w:rPr>
          <w:rFonts w:ascii="Calibri" w:hAnsi="Calibri" w:cs="Calibri"/>
          <w:sz w:val="18"/>
          <w:szCs w:val="18"/>
          <w:lang w:val="en-CA"/>
        </w:rPr>
        <w:t>.</w:t>
      </w:r>
    </w:p>
    <w:p w14:paraId="410004A5" w14:textId="77777777" w:rsidR="00746EBE" w:rsidRPr="00075D2F" w:rsidRDefault="00047C44" w:rsidP="00746EBE">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Legal Compliance; Workplace Safety</w:t>
      </w:r>
      <w:r w:rsidRPr="00075D2F">
        <w:rPr>
          <w:rFonts w:ascii="Calibri" w:hAnsi="Calibri" w:cs="Calibri"/>
          <w:sz w:val="18"/>
          <w:szCs w:val="18"/>
          <w:lang w:val="en-CA"/>
        </w:rPr>
        <w:t xml:space="preserve">. In carrying out its obligations under the Agreement, including the performance of </w:t>
      </w:r>
      <w:r w:rsidR="00C21959" w:rsidRPr="00075D2F">
        <w:rPr>
          <w:rFonts w:ascii="Calibri" w:hAnsi="Calibri" w:cs="Calibri"/>
          <w:sz w:val="18"/>
          <w:szCs w:val="18"/>
          <w:lang w:val="en-CA"/>
        </w:rPr>
        <w:t xml:space="preserve">the </w:t>
      </w:r>
      <w:r w:rsidRPr="00075D2F">
        <w:rPr>
          <w:rFonts w:ascii="Calibri" w:hAnsi="Calibri" w:cs="Calibri"/>
          <w:sz w:val="18"/>
          <w:szCs w:val="18"/>
          <w:lang w:val="en-CA"/>
        </w:rPr>
        <w:t>Services</w:t>
      </w:r>
      <w:r w:rsidR="00C21959" w:rsidRPr="00075D2F">
        <w:rPr>
          <w:rFonts w:ascii="Calibri" w:hAnsi="Calibri" w:cs="Calibri"/>
          <w:sz w:val="18"/>
          <w:szCs w:val="18"/>
          <w:lang w:val="en-CA"/>
        </w:rPr>
        <w:t>/Analysis</w:t>
      </w:r>
      <w:r w:rsidRPr="00075D2F">
        <w:rPr>
          <w:rFonts w:ascii="Calibri" w:hAnsi="Calibri" w:cs="Calibri"/>
          <w:sz w:val="18"/>
          <w:szCs w:val="18"/>
          <w:lang w:val="en-CA"/>
        </w:rPr>
        <w:t xml:space="preserve">, </w:t>
      </w:r>
      <w:r w:rsidR="003F0960" w:rsidRPr="00075D2F">
        <w:rPr>
          <w:rFonts w:ascii="Calibri" w:hAnsi="Calibri" w:cs="Calibri"/>
          <w:sz w:val="18"/>
          <w:szCs w:val="18"/>
          <w:lang w:val="en-CA"/>
        </w:rPr>
        <w:t>INRS</w:t>
      </w:r>
      <w:r w:rsidRPr="00075D2F">
        <w:rPr>
          <w:rFonts w:ascii="Calibri" w:hAnsi="Calibri" w:cs="Calibri"/>
          <w:sz w:val="18"/>
          <w:szCs w:val="18"/>
          <w:lang w:val="en-CA"/>
        </w:rPr>
        <w:t xml:space="preserve"> shall comply with applicable all laws, regulations, standards, and </w:t>
      </w:r>
      <w:r w:rsidR="00CD2168" w:rsidRPr="00075D2F">
        <w:rPr>
          <w:rFonts w:ascii="Calibri" w:hAnsi="Calibri" w:cs="Calibri"/>
          <w:sz w:val="18"/>
          <w:szCs w:val="18"/>
          <w:lang w:val="en-CA"/>
        </w:rPr>
        <w:t>codes</w:t>
      </w:r>
      <w:r w:rsidRPr="00075D2F">
        <w:rPr>
          <w:rFonts w:ascii="Calibri" w:hAnsi="Calibri" w:cs="Calibri"/>
          <w:sz w:val="18"/>
          <w:szCs w:val="18"/>
          <w:lang w:val="en-CA"/>
        </w:rPr>
        <w:t>.</w:t>
      </w:r>
    </w:p>
    <w:p w14:paraId="0ED96A87" w14:textId="4447ECFE" w:rsidR="00047C44" w:rsidRPr="00075D2F" w:rsidRDefault="00000E5C" w:rsidP="00746EBE">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Delivery of the material</w:t>
      </w:r>
      <w:r w:rsidR="00CD2168" w:rsidRPr="00075D2F">
        <w:rPr>
          <w:rFonts w:ascii="Calibri" w:hAnsi="Calibri" w:cs="Calibri"/>
          <w:b/>
          <w:bCs/>
          <w:sz w:val="18"/>
          <w:szCs w:val="18"/>
          <w:lang w:val="en-CA"/>
        </w:rPr>
        <w:t>, sample, substance</w:t>
      </w:r>
      <w:r w:rsidR="00047C44" w:rsidRPr="00075D2F">
        <w:rPr>
          <w:rFonts w:ascii="Calibri" w:hAnsi="Calibri" w:cs="Calibri"/>
          <w:sz w:val="18"/>
          <w:szCs w:val="18"/>
          <w:lang w:val="en-CA"/>
        </w:rPr>
        <w:t xml:space="preserve">. </w:t>
      </w:r>
      <w:r w:rsidRPr="00075D2F">
        <w:rPr>
          <w:rFonts w:ascii="Calibri" w:hAnsi="Calibri" w:cs="Calibri"/>
          <w:sz w:val="18"/>
          <w:szCs w:val="18"/>
          <w:lang w:val="en-CA"/>
        </w:rPr>
        <w:t>Client shall, at its own expense, pack, load, and deliver the material, sample and/or any other substance for which the Client request</w:t>
      </w:r>
      <w:r w:rsidR="00D819AE" w:rsidRPr="00075D2F">
        <w:rPr>
          <w:rFonts w:ascii="Calibri" w:hAnsi="Calibri" w:cs="Calibri"/>
          <w:sz w:val="18"/>
          <w:szCs w:val="18"/>
          <w:lang w:val="en-CA"/>
        </w:rPr>
        <w:t>ed</w:t>
      </w:r>
      <w:r w:rsidRPr="00075D2F">
        <w:rPr>
          <w:rFonts w:ascii="Calibri" w:hAnsi="Calibri" w:cs="Calibri"/>
          <w:sz w:val="18"/>
          <w:szCs w:val="18"/>
          <w:lang w:val="en-CA"/>
        </w:rPr>
        <w:t xml:space="preserve"> Services/Analysis to Location. No charges will be reimbursed </w:t>
      </w:r>
      <w:r w:rsidRPr="00075D2F">
        <w:rPr>
          <w:rFonts w:ascii="Calibri" w:hAnsi="Calibri" w:cs="Calibri"/>
          <w:sz w:val="18"/>
          <w:szCs w:val="18"/>
          <w:lang w:val="en-CA"/>
        </w:rPr>
        <w:lastRenderedPageBreak/>
        <w:t xml:space="preserve">by INRS for transportation, insurance, shipping, storage, handling, cartage, </w:t>
      </w:r>
      <w:proofErr w:type="gramStart"/>
      <w:r w:rsidRPr="00075D2F">
        <w:rPr>
          <w:rFonts w:ascii="Calibri" w:hAnsi="Calibri" w:cs="Calibri"/>
          <w:sz w:val="18"/>
          <w:szCs w:val="18"/>
          <w:lang w:val="en-CA"/>
        </w:rPr>
        <w:t>packaging</w:t>
      </w:r>
      <w:proofErr w:type="gramEnd"/>
      <w:r w:rsidRPr="00075D2F">
        <w:rPr>
          <w:rFonts w:ascii="Calibri" w:hAnsi="Calibri" w:cs="Calibri"/>
          <w:sz w:val="18"/>
          <w:szCs w:val="18"/>
          <w:lang w:val="en-CA"/>
        </w:rPr>
        <w:t xml:space="preserve"> or similar charges or otherwise agreed to in writing by INRS. Risk of loss or damage shall pass to INRS upon receipt of material, sample and/or any other substances once received by INRS at the Location. INRS has no obligation to obtain insurance while the material, sample and/or any other substances are in transit from Client to the Location</w:t>
      </w:r>
      <w:r w:rsidR="00047C44" w:rsidRPr="00075D2F">
        <w:rPr>
          <w:rFonts w:ascii="Calibri" w:hAnsi="Calibri" w:cs="Calibri"/>
          <w:sz w:val="18"/>
          <w:szCs w:val="18"/>
          <w:lang w:val="en-CA"/>
        </w:rPr>
        <w:t>.</w:t>
      </w:r>
    </w:p>
    <w:p w14:paraId="73ED91C5" w14:textId="429C5EA1" w:rsidR="00047C44" w:rsidRPr="00075D2F"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Intellectual Property Rights</w:t>
      </w:r>
      <w:r w:rsidRPr="00075D2F">
        <w:rPr>
          <w:rFonts w:ascii="Calibri" w:hAnsi="Calibri" w:cs="Calibri"/>
          <w:sz w:val="18"/>
          <w:szCs w:val="18"/>
          <w:lang w:val="en-CA"/>
        </w:rPr>
        <w:t>. All Intellectual Property Rights in and to each Deliverable</w:t>
      </w:r>
      <w:r w:rsidR="001B568E" w:rsidRPr="00075D2F">
        <w:rPr>
          <w:rFonts w:ascii="Calibri" w:hAnsi="Calibri" w:cs="Calibri"/>
          <w:sz w:val="18"/>
          <w:szCs w:val="18"/>
          <w:lang w:val="en-CA"/>
        </w:rPr>
        <w:t>(s)</w:t>
      </w:r>
      <w:r w:rsidRPr="00075D2F">
        <w:rPr>
          <w:rFonts w:ascii="Calibri" w:hAnsi="Calibri" w:cs="Calibri"/>
          <w:sz w:val="18"/>
          <w:szCs w:val="18"/>
          <w:lang w:val="en-CA"/>
        </w:rPr>
        <w:t xml:space="preserve"> shall vest in </w:t>
      </w:r>
      <w:r w:rsidR="003F0960" w:rsidRPr="00075D2F">
        <w:rPr>
          <w:rFonts w:ascii="Calibri" w:hAnsi="Calibri" w:cs="Calibri"/>
          <w:sz w:val="18"/>
          <w:szCs w:val="18"/>
          <w:lang w:val="en-CA"/>
        </w:rPr>
        <w:t>Client</w:t>
      </w:r>
      <w:r w:rsidRPr="00075D2F">
        <w:rPr>
          <w:rFonts w:ascii="Calibri" w:hAnsi="Calibri" w:cs="Calibri"/>
          <w:sz w:val="18"/>
          <w:szCs w:val="18"/>
          <w:lang w:val="en-CA"/>
        </w:rPr>
        <w:t xml:space="preserve"> free and clear of all liens and encumbrances</w:t>
      </w:r>
      <w:r w:rsidR="00D819AE" w:rsidRPr="00075D2F">
        <w:rPr>
          <w:rFonts w:ascii="Calibri" w:hAnsi="Calibri" w:cs="Calibri"/>
          <w:sz w:val="18"/>
          <w:szCs w:val="18"/>
          <w:lang w:val="en-CA"/>
        </w:rPr>
        <w:t>,</w:t>
      </w:r>
      <w:r w:rsidRPr="00075D2F">
        <w:rPr>
          <w:rFonts w:ascii="Calibri" w:hAnsi="Calibri" w:cs="Calibri"/>
          <w:sz w:val="18"/>
          <w:szCs w:val="18"/>
          <w:lang w:val="en-CA"/>
        </w:rPr>
        <w:t xml:space="preserve"> </w:t>
      </w:r>
      <w:r w:rsidR="00D819AE" w:rsidRPr="00075D2F">
        <w:rPr>
          <w:rFonts w:ascii="Calibri" w:hAnsi="Calibri" w:cs="Calibri"/>
          <w:sz w:val="18"/>
          <w:szCs w:val="18"/>
          <w:lang w:val="en-CA"/>
        </w:rPr>
        <w:t xml:space="preserve">upon </w:t>
      </w:r>
      <w:r w:rsidRPr="00075D2F">
        <w:rPr>
          <w:rFonts w:ascii="Calibri" w:hAnsi="Calibri" w:cs="Calibri"/>
          <w:sz w:val="18"/>
          <w:szCs w:val="18"/>
          <w:lang w:val="en-CA"/>
        </w:rPr>
        <w:t xml:space="preserve">receipt </w:t>
      </w:r>
      <w:r w:rsidR="00D819AE" w:rsidRPr="00075D2F">
        <w:rPr>
          <w:rFonts w:ascii="Calibri" w:hAnsi="Calibri" w:cs="Calibri"/>
          <w:sz w:val="18"/>
          <w:szCs w:val="18"/>
          <w:lang w:val="en-CA"/>
        </w:rPr>
        <w:t xml:space="preserve">by INRS </w:t>
      </w:r>
      <w:r w:rsidRPr="00075D2F">
        <w:rPr>
          <w:rFonts w:ascii="Calibri" w:hAnsi="Calibri" w:cs="Calibri"/>
          <w:sz w:val="18"/>
          <w:szCs w:val="18"/>
          <w:lang w:val="en-CA"/>
        </w:rPr>
        <w:t xml:space="preserve">of </w:t>
      </w:r>
      <w:r w:rsidR="00D819AE" w:rsidRPr="00075D2F">
        <w:rPr>
          <w:rFonts w:ascii="Calibri" w:hAnsi="Calibri" w:cs="Calibri"/>
          <w:sz w:val="18"/>
          <w:szCs w:val="18"/>
          <w:lang w:val="en-CA"/>
        </w:rPr>
        <w:t xml:space="preserve">Client’s </w:t>
      </w:r>
      <w:r w:rsidRPr="00075D2F">
        <w:rPr>
          <w:rFonts w:ascii="Calibri" w:hAnsi="Calibri" w:cs="Calibri"/>
          <w:sz w:val="18"/>
          <w:szCs w:val="18"/>
          <w:lang w:val="en-CA"/>
        </w:rPr>
        <w:t>payment for each Deliverable.</w:t>
      </w:r>
      <w:r w:rsidR="002F401F" w:rsidRPr="00075D2F">
        <w:rPr>
          <w:rFonts w:ascii="Calibri" w:hAnsi="Calibri" w:cs="Calibri"/>
          <w:sz w:val="18"/>
          <w:szCs w:val="18"/>
          <w:lang w:val="en-CA"/>
        </w:rPr>
        <w:t xml:space="preserve"> It is understood that </w:t>
      </w:r>
      <w:r w:rsidR="00E2493F" w:rsidRPr="00075D2F">
        <w:rPr>
          <w:rFonts w:ascii="Calibri" w:hAnsi="Calibri" w:cs="Calibri"/>
          <w:sz w:val="18"/>
          <w:szCs w:val="18"/>
          <w:lang w:val="en-CA"/>
        </w:rPr>
        <w:t xml:space="preserve">in the event of Client’s failure to pay, it is specifically agreed between </w:t>
      </w:r>
      <w:r w:rsidR="002D1062" w:rsidRPr="00075D2F">
        <w:rPr>
          <w:rFonts w:ascii="Calibri" w:hAnsi="Calibri" w:cs="Calibri"/>
          <w:sz w:val="18"/>
          <w:szCs w:val="18"/>
          <w:lang w:val="en-CA"/>
        </w:rPr>
        <w:t>both parties that INRS</w:t>
      </w:r>
      <w:r w:rsidR="00E2493F" w:rsidRPr="00075D2F">
        <w:rPr>
          <w:rFonts w:ascii="Calibri" w:hAnsi="Calibri" w:cs="Calibri"/>
          <w:sz w:val="18"/>
          <w:szCs w:val="18"/>
          <w:lang w:val="en-CA"/>
        </w:rPr>
        <w:t xml:space="preserve"> will retain the Intellectual Property relating to any </w:t>
      </w:r>
      <w:r w:rsidR="002D1062" w:rsidRPr="00075D2F">
        <w:rPr>
          <w:rFonts w:ascii="Calibri" w:hAnsi="Calibri" w:cs="Calibri"/>
          <w:sz w:val="18"/>
          <w:szCs w:val="18"/>
          <w:lang w:val="en-CA"/>
        </w:rPr>
        <w:t>Deliverable</w:t>
      </w:r>
      <w:r w:rsidR="001B568E" w:rsidRPr="00075D2F">
        <w:rPr>
          <w:rFonts w:ascii="Calibri" w:hAnsi="Calibri" w:cs="Calibri"/>
          <w:sz w:val="18"/>
          <w:szCs w:val="18"/>
          <w:lang w:val="en-CA"/>
        </w:rPr>
        <w:t>(s)</w:t>
      </w:r>
      <w:r w:rsidR="00E2493F" w:rsidRPr="00075D2F">
        <w:rPr>
          <w:rFonts w:ascii="Calibri" w:hAnsi="Calibri" w:cs="Calibri"/>
          <w:sz w:val="18"/>
          <w:szCs w:val="18"/>
          <w:lang w:val="en-CA"/>
        </w:rPr>
        <w:t xml:space="preserve"> developed as part of the Services</w:t>
      </w:r>
      <w:r w:rsidR="002D1062" w:rsidRPr="00075D2F">
        <w:rPr>
          <w:rFonts w:ascii="Calibri" w:hAnsi="Calibri" w:cs="Calibri"/>
          <w:sz w:val="18"/>
          <w:szCs w:val="18"/>
          <w:lang w:val="en-CA"/>
        </w:rPr>
        <w:t>/Analysis.</w:t>
      </w:r>
    </w:p>
    <w:p w14:paraId="7BFE1FBC" w14:textId="6F288E1A" w:rsidR="00047C44" w:rsidRPr="00075D2F"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Confidentiality</w:t>
      </w:r>
      <w:r w:rsidRPr="00075D2F">
        <w:rPr>
          <w:rFonts w:ascii="Calibri" w:hAnsi="Calibri" w:cs="Calibri"/>
          <w:sz w:val="18"/>
          <w:szCs w:val="18"/>
          <w:lang w:val="en-CA"/>
        </w:rPr>
        <w:t xml:space="preserve">. </w:t>
      </w:r>
      <w:r w:rsidR="008D31B3" w:rsidRPr="00075D2F">
        <w:rPr>
          <w:rFonts w:ascii="Calibri" w:hAnsi="Calibri" w:cs="Calibri"/>
          <w:sz w:val="18"/>
          <w:szCs w:val="18"/>
          <w:lang w:val="en-CA"/>
        </w:rPr>
        <w:t>INRS</w:t>
      </w:r>
      <w:r w:rsidRPr="00075D2F">
        <w:rPr>
          <w:rFonts w:ascii="Calibri" w:hAnsi="Calibri" w:cs="Calibri"/>
          <w:sz w:val="18"/>
          <w:szCs w:val="18"/>
          <w:lang w:val="en-CA"/>
        </w:rPr>
        <w:t xml:space="preserve"> shall safeguard and keep confidential </w:t>
      </w:r>
      <w:r w:rsidR="008D31B3" w:rsidRPr="00075D2F">
        <w:rPr>
          <w:rFonts w:ascii="Calibri" w:hAnsi="Calibri" w:cs="Calibri"/>
          <w:sz w:val="18"/>
          <w:szCs w:val="18"/>
          <w:lang w:val="en-CA"/>
        </w:rPr>
        <w:t>all</w:t>
      </w:r>
      <w:r w:rsidRPr="00075D2F">
        <w:rPr>
          <w:rFonts w:ascii="Calibri" w:hAnsi="Calibri" w:cs="Calibri"/>
          <w:sz w:val="18"/>
          <w:szCs w:val="18"/>
          <w:lang w:val="en-CA"/>
        </w:rPr>
        <w:t xml:space="preserve"> information relating to </w:t>
      </w:r>
      <w:r w:rsidR="00BC715F" w:rsidRPr="00075D2F">
        <w:rPr>
          <w:rFonts w:ascii="Calibri" w:hAnsi="Calibri" w:cs="Calibri"/>
          <w:sz w:val="18"/>
          <w:szCs w:val="18"/>
          <w:lang w:val="en-CA"/>
        </w:rPr>
        <w:t>Client</w:t>
      </w:r>
      <w:r w:rsidRPr="00075D2F">
        <w:rPr>
          <w:rFonts w:ascii="Calibri" w:hAnsi="Calibri" w:cs="Calibri"/>
          <w:sz w:val="18"/>
          <w:szCs w:val="18"/>
          <w:lang w:val="en-CA"/>
        </w:rPr>
        <w:t xml:space="preserve"> obtained by </w:t>
      </w:r>
      <w:r w:rsidR="008D31B3" w:rsidRPr="00075D2F">
        <w:rPr>
          <w:rFonts w:ascii="Calibri" w:hAnsi="Calibri" w:cs="Calibri"/>
          <w:sz w:val="18"/>
          <w:szCs w:val="18"/>
          <w:lang w:val="en-CA"/>
        </w:rPr>
        <w:t>INRS</w:t>
      </w:r>
      <w:r w:rsidRPr="00075D2F">
        <w:rPr>
          <w:rFonts w:ascii="Calibri" w:hAnsi="Calibri" w:cs="Calibri"/>
          <w:sz w:val="18"/>
          <w:szCs w:val="18"/>
          <w:lang w:val="en-CA"/>
        </w:rPr>
        <w:t xml:space="preserve"> or provided to</w:t>
      </w:r>
      <w:r w:rsidR="008D31B3" w:rsidRPr="00075D2F">
        <w:rPr>
          <w:rFonts w:ascii="Calibri" w:hAnsi="Calibri" w:cs="Calibri"/>
          <w:sz w:val="18"/>
          <w:szCs w:val="18"/>
          <w:lang w:val="en-CA"/>
        </w:rPr>
        <w:t xml:space="preserve"> INRS</w:t>
      </w:r>
      <w:r w:rsidRPr="00075D2F">
        <w:rPr>
          <w:rFonts w:ascii="Calibri" w:hAnsi="Calibri" w:cs="Calibri"/>
          <w:sz w:val="18"/>
          <w:szCs w:val="18"/>
          <w:lang w:val="en-CA"/>
        </w:rPr>
        <w:t xml:space="preserve"> by </w:t>
      </w:r>
      <w:r w:rsidR="00BC715F" w:rsidRPr="00075D2F">
        <w:rPr>
          <w:rFonts w:ascii="Calibri" w:hAnsi="Calibri" w:cs="Calibri"/>
          <w:sz w:val="18"/>
          <w:szCs w:val="18"/>
          <w:lang w:val="en-CA"/>
        </w:rPr>
        <w:t>Client</w:t>
      </w:r>
      <w:r w:rsidRPr="00075D2F">
        <w:rPr>
          <w:rFonts w:ascii="Calibri" w:hAnsi="Calibri" w:cs="Calibri"/>
          <w:sz w:val="18"/>
          <w:szCs w:val="18"/>
          <w:lang w:val="en-CA"/>
        </w:rPr>
        <w:t xml:space="preserve"> in connection with this </w:t>
      </w:r>
      <w:r w:rsidR="00BC715F" w:rsidRPr="00075D2F">
        <w:rPr>
          <w:rFonts w:ascii="Calibri" w:hAnsi="Calibri" w:cs="Calibri"/>
          <w:sz w:val="18"/>
          <w:szCs w:val="18"/>
          <w:lang w:val="en-CA"/>
        </w:rPr>
        <w:t>Agreement and</w:t>
      </w:r>
      <w:r w:rsidRPr="00075D2F">
        <w:rPr>
          <w:rFonts w:ascii="Calibri" w:hAnsi="Calibri" w:cs="Calibri"/>
          <w:sz w:val="18"/>
          <w:szCs w:val="18"/>
          <w:lang w:val="en-CA"/>
        </w:rPr>
        <w:t xml:space="preserve"> shall use such information only for the purposes of carrying out its obligations under this Agreement.</w:t>
      </w:r>
    </w:p>
    <w:p w14:paraId="32660EE6" w14:textId="72972EF6" w:rsidR="00047C44" w:rsidRPr="00075D2F"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Independent Contractors</w:t>
      </w:r>
      <w:r w:rsidRPr="00075D2F">
        <w:rPr>
          <w:rFonts w:ascii="Calibri" w:hAnsi="Calibri" w:cs="Calibri"/>
          <w:sz w:val="18"/>
          <w:szCs w:val="18"/>
          <w:lang w:val="en-CA"/>
        </w:rPr>
        <w:t xml:space="preserve">. </w:t>
      </w:r>
      <w:r w:rsidR="00DB05AA" w:rsidRPr="00075D2F">
        <w:rPr>
          <w:rFonts w:ascii="Calibri" w:hAnsi="Calibri" w:cs="Calibri"/>
          <w:sz w:val="18"/>
          <w:szCs w:val="18"/>
          <w:lang w:val="en-CA"/>
        </w:rPr>
        <w:t xml:space="preserve">The relationship between Client and INRS, or any employee of INRS, </w:t>
      </w:r>
      <w:r w:rsidR="00CE5745" w:rsidRPr="00075D2F">
        <w:rPr>
          <w:rFonts w:ascii="Calibri" w:hAnsi="Calibri" w:cs="Calibri"/>
          <w:sz w:val="18"/>
          <w:szCs w:val="18"/>
          <w:lang w:val="en-CA"/>
        </w:rPr>
        <w:t>will always</w:t>
      </w:r>
      <w:r w:rsidR="000011F6" w:rsidRPr="00075D2F">
        <w:rPr>
          <w:rFonts w:ascii="Calibri" w:hAnsi="Calibri" w:cs="Calibri"/>
          <w:sz w:val="18"/>
          <w:szCs w:val="18"/>
          <w:lang w:val="en-CA"/>
        </w:rPr>
        <w:t>,</w:t>
      </w:r>
      <w:r w:rsidR="00DB05AA" w:rsidRPr="00075D2F">
        <w:rPr>
          <w:rFonts w:ascii="Calibri" w:hAnsi="Calibri" w:cs="Calibri"/>
          <w:sz w:val="18"/>
          <w:szCs w:val="18"/>
          <w:lang w:val="en-CA"/>
        </w:rPr>
        <w:t xml:space="preserve"> during the provision of any Services/</w:t>
      </w:r>
      <w:r w:rsidR="00073135" w:rsidRPr="00075D2F">
        <w:rPr>
          <w:rFonts w:ascii="Calibri" w:hAnsi="Calibri" w:cs="Calibri"/>
          <w:sz w:val="18"/>
          <w:szCs w:val="18"/>
          <w:lang w:val="en-CA"/>
        </w:rPr>
        <w:t>Analysis</w:t>
      </w:r>
      <w:r w:rsidR="00DB05AA" w:rsidRPr="00075D2F">
        <w:rPr>
          <w:rFonts w:ascii="Calibri" w:hAnsi="Calibri" w:cs="Calibri"/>
          <w:sz w:val="18"/>
          <w:szCs w:val="18"/>
          <w:lang w:val="en-CA"/>
        </w:rPr>
        <w:t xml:space="preserve"> by </w:t>
      </w:r>
      <w:r w:rsidR="00073135" w:rsidRPr="00075D2F">
        <w:rPr>
          <w:rFonts w:ascii="Calibri" w:hAnsi="Calibri" w:cs="Calibri"/>
          <w:sz w:val="18"/>
          <w:szCs w:val="18"/>
          <w:lang w:val="en-CA"/>
        </w:rPr>
        <w:t>INRS</w:t>
      </w:r>
      <w:r w:rsidR="00DB05AA" w:rsidRPr="00075D2F">
        <w:rPr>
          <w:rFonts w:ascii="Calibri" w:hAnsi="Calibri" w:cs="Calibri"/>
          <w:sz w:val="18"/>
          <w:szCs w:val="18"/>
          <w:lang w:val="en-CA"/>
        </w:rPr>
        <w:t xml:space="preserve"> under this Agreement</w:t>
      </w:r>
      <w:r w:rsidR="000011F6" w:rsidRPr="00075D2F">
        <w:rPr>
          <w:rFonts w:ascii="Calibri" w:hAnsi="Calibri" w:cs="Calibri"/>
          <w:sz w:val="18"/>
          <w:szCs w:val="18"/>
          <w:lang w:val="en-CA"/>
        </w:rPr>
        <w:t>,</w:t>
      </w:r>
      <w:r w:rsidR="00DB05AA" w:rsidRPr="00075D2F">
        <w:rPr>
          <w:rFonts w:ascii="Calibri" w:hAnsi="Calibri" w:cs="Calibri"/>
          <w:sz w:val="18"/>
          <w:szCs w:val="18"/>
          <w:lang w:val="en-CA"/>
        </w:rPr>
        <w:t xml:space="preserve"> be that of an independent contractor, not an employee of the </w:t>
      </w:r>
      <w:r w:rsidR="00073135" w:rsidRPr="00075D2F">
        <w:rPr>
          <w:rFonts w:ascii="Calibri" w:hAnsi="Calibri" w:cs="Calibri"/>
          <w:sz w:val="18"/>
          <w:szCs w:val="18"/>
          <w:lang w:val="en-CA"/>
        </w:rPr>
        <w:t>Client.</w:t>
      </w:r>
      <w:r w:rsidR="00DB05AA" w:rsidRPr="00075D2F">
        <w:rPr>
          <w:rFonts w:ascii="Calibri" w:hAnsi="Calibri" w:cs="Calibri"/>
          <w:sz w:val="18"/>
          <w:szCs w:val="18"/>
          <w:lang w:val="en-CA"/>
        </w:rPr>
        <w:t xml:space="preserve"> No employment relationship is</w:t>
      </w:r>
      <w:r w:rsidR="00CE5745" w:rsidRPr="00075D2F">
        <w:rPr>
          <w:rFonts w:ascii="Calibri" w:hAnsi="Calibri" w:cs="Calibri"/>
          <w:sz w:val="18"/>
          <w:szCs w:val="18"/>
          <w:lang w:val="en-CA"/>
        </w:rPr>
        <w:t xml:space="preserve"> hereby</w:t>
      </w:r>
      <w:r w:rsidR="00DB05AA" w:rsidRPr="00075D2F">
        <w:rPr>
          <w:rFonts w:ascii="Calibri" w:hAnsi="Calibri" w:cs="Calibri"/>
          <w:sz w:val="18"/>
          <w:szCs w:val="18"/>
          <w:lang w:val="en-CA"/>
        </w:rPr>
        <w:t xml:space="preserve"> created</w:t>
      </w:r>
      <w:r w:rsidRPr="00075D2F">
        <w:rPr>
          <w:rFonts w:ascii="Calibri" w:hAnsi="Calibri" w:cs="Calibri"/>
          <w:sz w:val="18"/>
          <w:szCs w:val="18"/>
          <w:lang w:val="en-CA"/>
        </w:rPr>
        <w:t>.</w:t>
      </w:r>
    </w:p>
    <w:p w14:paraId="5DAF8087" w14:textId="77777777" w:rsidR="00047C44" w:rsidRPr="00075D2F"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Severability</w:t>
      </w:r>
      <w:r w:rsidRPr="00075D2F">
        <w:rPr>
          <w:rFonts w:ascii="Calibri" w:hAnsi="Calibri" w:cs="Calibri"/>
          <w:sz w:val="18"/>
          <w:szCs w:val="18"/>
          <w:lang w:val="en-CA"/>
        </w:rPr>
        <w:t>. If any provision of this Agreement is determined to be unenforceable or invalid for any reason whatsoever, in whole or in part, such invalidity or unenforceability shall attach only to such provision or part thereof and the remaining part thereof and all other provisions shall continue in full force and effect.</w:t>
      </w:r>
    </w:p>
    <w:p w14:paraId="30E29329" w14:textId="77777777" w:rsidR="00047C44" w:rsidRPr="00075D2F"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Waiver</w:t>
      </w:r>
      <w:r w:rsidRPr="00075D2F">
        <w:rPr>
          <w:rFonts w:ascii="Calibri" w:hAnsi="Calibri" w:cs="Calibri"/>
          <w:sz w:val="18"/>
          <w:szCs w:val="18"/>
          <w:lang w:val="en-CA"/>
        </w:rPr>
        <w:t>. No waiver of any provision of this Agreement shall be enforceable against that party unless it is in writing and signed by that party.</w:t>
      </w:r>
    </w:p>
    <w:p w14:paraId="129F0572" w14:textId="77777777" w:rsidR="00FC2F4A" w:rsidRPr="008A4951"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075D2F">
        <w:rPr>
          <w:rFonts w:ascii="Calibri" w:hAnsi="Calibri" w:cs="Calibri"/>
          <w:b/>
          <w:bCs/>
          <w:sz w:val="18"/>
          <w:szCs w:val="18"/>
          <w:lang w:val="en-CA"/>
        </w:rPr>
        <w:t>Survival</w:t>
      </w:r>
      <w:r w:rsidRPr="00075D2F">
        <w:rPr>
          <w:rFonts w:ascii="Calibri" w:hAnsi="Calibri" w:cs="Calibri"/>
          <w:sz w:val="18"/>
          <w:szCs w:val="18"/>
          <w:lang w:val="en-CA"/>
        </w:rPr>
        <w:t>. Any provision of this Agreement which expressly or by implication from its nature is intended to survive the termination or completion of the Agreement will continue in</w:t>
      </w:r>
      <w:r w:rsidRPr="008A4951">
        <w:rPr>
          <w:rFonts w:ascii="Calibri" w:hAnsi="Calibri" w:cs="Calibri"/>
          <w:sz w:val="18"/>
          <w:szCs w:val="18"/>
          <w:lang w:val="en-CA"/>
        </w:rPr>
        <w:t xml:space="preserve"> full force and effect after any termination, </w:t>
      </w:r>
      <w:proofErr w:type="gramStart"/>
      <w:r w:rsidRPr="008A4951">
        <w:rPr>
          <w:rFonts w:ascii="Calibri" w:hAnsi="Calibri" w:cs="Calibri"/>
          <w:sz w:val="18"/>
          <w:szCs w:val="18"/>
          <w:lang w:val="en-CA"/>
        </w:rPr>
        <w:t>expiry</w:t>
      </w:r>
      <w:proofErr w:type="gramEnd"/>
      <w:r w:rsidRPr="008A4951">
        <w:rPr>
          <w:rFonts w:ascii="Calibri" w:hAnsi="Calibri" w:cs="Calibri"/>
          <w:sz w:val="18"/>
          <w:szCs w:val="18"/>
          <w:lang w:val="en-CA"/>
        </w:rPr>
        <w:t xml:space="preserve"> or completion of this Agreement.</w:t>
      </w:r>
    </w:p>
    <w:p w14:paraId="58092F75" w14:textId="1E50BF21" w:rsidR="00047C44" w:rsidRPr="008A4951"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8A4951">
        <w:rPr>
          <w:rFonts w:ascii="Calibri" w:hAnsi="Calibri" w:cs="Calibri"/>
          <w:b/>
          <w:bCs/>
          <w:sz w:val="18"/>
          <w:szCs w:val="18"/>
          <w:lang w:val="en-CA"/>
        </w:rPr>
        <w:t>Interpretation</w:t>
      </w:r>
      <w:r w:rsidRPr="008A4951">
        <w:rPr>
          <w:rFonts w:ascii="Calibri" w:hAnsi="Calibri" w:cs="Calibri"/>
          <w:sz w:val="18"/>
          <w:szCs w:val="18"/>
          <w:lang w:val="en-CA"/>
        </w:rPr>
        <w:t>. The headings used in this Agreement and its division into articles, sections, schedules, exhibits, appendices, and other subdivisions do not affect its interpretation. Unless the context requires otherwise, words importing the singular number include the plural and vice versa; words importing gender include all genders. References in this Agreement to articles, sections, schedules, exhibits, appendices, and other subdivisions are to those parts of this Agreement. Where this Agreement uses the word “including,” it means “including without limitation,” and where it uses the word “includes,” it means “includes without limitation.</w:t>
      </w:r>
    </w:p>
    <w:p w14:paraId="0E7878CD" w14:textId="77777777" w:rsidR="00BB3CDD" w:rsidRPr="008A4951" w:rsidRDefault="00047C44"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8A4951">
        <w:rPr>
          <w:rFonts w:ascii="Calibri" w:hAnsi="Calibri" w:cs="Calibri"/>
          <w:b/>
          <w:bCs/>
          <w:sz w:val="18"/>
          <w:szCs w:val="18"/>
          <w:lang w:val="en-CA"/>
        </w:rPr>
        <w:t>Governing Law</w:t>
      </w:r>
      <w:r w:rsidRPr="008A4951">
        <w:rPr>
          <w:rFonts w:ascii="Calibri" w:hAnsi="Calibri" w:cs="Calibri"/>
          <w:sz w:val="18"/>
          <w:szCs w:val="18"/>
          <w:lang w:val="en-CA"/>
        </w:rPr>
        <w:t xml:space="preserve">. This Agreement shall be governed by the laws of the Province of </w:t>
      </w:r>
      <w:r w:rsidR="00BE541B" w:rsidRPr="008A4951">
        <w:rPr>
          <w:rFonts w:ascii="Calibri" w:hAnsi="Calibri" w:cs="Calibri"/>
          <w:sz w:val="18"/>
          <w:szCs w:val="18"/>
          <w:lang w:val="en-CA"/>
        </w:rPr>
        <w:t>Québec</w:t>
      </w:r>
      <w:r w:rsidRPr="008A4951">
        <w:rPr>
          <w:rFonts w:ascii="Calibri" w:hAnsi="Calibri" w:cs="Calibri"/>
          <w:sz w:val="18"/>
          <w:szCs w:val="18"/>
          <w:lang w:val="en-CA"/>
        </w:rPr>
        <w:t xml:space="preserve">. The parties irrevocably attorn to the jurisdiction of the courts of </w:t>
      </w:r>
      <w:r w:rsidR="00BE541B" w:rsidRPr="008A4951">
        <w:rPr>
          <w:rFonts w:ascii="Calibri" w:hAnsi="Calibri" w:cs="Calibri"/>
          <w:sz w:val="18"/>
          <w:szCs w:val="18"/>
          <w:lang w:val="en-CA"/>
        </w:rPr>
        <w:t>Québec</w:t>
      </w:r>
      <w:r w:rsidRPr="008A4951">
        <w:rPr>
          <w:rFonts w:ascii="Calibri" w:hAnsi="Calibri" w:cs="Calibri"/>
          <w:sz w:val="18"/>
          <w:szCs w:val="18"/>
          <w:lang w:val="en-CA"/>
        </w:rPr>
        <w:t>, which will have non-exclusive jurisdiction over any matter arising out of this Agreement.</w:t>
      </w:r>
    </w:p>
    <w:p w14:paraId="3035BC83" w14:textId="7A9295F5" w:rsidR="00BB3CDD" w:rsidRPr="008A4951" w:rsidRDefault="00BB3CDD" w:rsidP="009E0049">
      <w:pPr>
        <w:numPr>
          <w:ilvl w:val="0"/>
          <w:numId w:val="1"/>
        </w:numPr>
        <w:tabs>
          <w:tab w:val="clear" w:pos="720"/>
          <w:tab w:val="num" w:pos="426"/>
        </w:tabs>
        <w:spacing w:after="0"/>
        <w:ind w:left="426" w:hanging="426"/>
        <w:jc w:val="both"/>
        <w:rPr>
          <w:rFonts w:ascii="Calibri" w:hAnsi="Calibri" w:cs="Calibri"/>
          <w:sz w:val="18"/>
          <w:szCs w:val="18"/>
          <w:lang w:val="en-CA"/>
        </w:rPr>
      </w:pPr>
      <w:r w:rsidRPr="008A4951">
        <w:rPr>
          <w:rFonts w:ascii="Calibri" w:hAnsi="Calibri" w:cs="Calibri"/>
          <w:b/>
          <w:sz w:val="18"/>
          <w:szCs w:val="18"/>
          <w:lang w:val="en-CA"/>
        </w:rPr>
        <w:t xml:space="preserve">Outsourcing. </w:t>
      </w:r>
      <w:r w:rsidRPr="008A4951">
        <w:rPr>
          <w:rFonts w:ascii="Calibri" w:hAnsi="Calibri" w:cs="Calibri"/>
          <w:sz w:val="18"/>
          <w:szCs w:val="18"/>
          <w:lang w:val="en-CA"/>
        </w:rPr>
        <w:t>INRS may not retain subcontractors for the performance of its obligations hereunder without the prior written authorization of the Client.</w:t>
      </w:r>
    </w:p>
    <w:p w14:paraId="72A17CF9" w14:textId="37A09C2B" w:rsidR="00CE3091" w:rsidRPr="003E496A" w:rsidRDefault="00F77A06" w:rsidP="009E0049">
      <w:pPr>
        <w:numPr>
          <w:ilvl w:val="0"/>
          <w:numId w:val="1"/>
        </w:numPr>
        <w:tabs>
          <w:tab w:val="clear" w:pos="720"/>
          <w:tab w:val="num" w:pos="426"/>
        </w:tabs>
        <w:spacing w:after="0"/>
        <w:ind w:left="426" w:hanging="426"/>
        <w:jc w:val="both"/>
        <w:rPr>
          <w:rFonts w:ascii="Calibri" w:hAnsi="Calibri" w:cs="Calibri"/>
          <w:sz w:val="18"/>
          <w:szCs w:val="18"/>
        </w:rPr>
        <w:sectPr w:rsidR="00CE3091" w:rsidRPr="003E496A" w:rsidSect="00CE6AE3">
          <w:type w:val="continuous"/>
          <w:pgSz w:w="12240" w:h="15840"/>
          <w:pgMar w:top="1440" w:right="1080" w:bottom="1440" w:left="1080" w:header="708" w:footer="708" w:gutter="0"/>
          <w:cols w:num="2" w:space="234"/>
          <w:docGrid w:linePitch="360"/>
        </w:sectPr>
      </w:pPr>
      <w:r>
        <w:rPr>
          <w:rFonts w:ascii="Calibri" w:hAnsi="Calibri" w:cs="Calibri"/>
          <w:b/>
          <w:bCs/>
          <w:sz w:val="18"/>
          <w:szCs w:val="18"/>
          <w:lang w:val="en-CA"/>
        </w:rPr>
        <w:t>Language</w:t>
      </w:r>
      <w:r w:rsidR="00A337C6" w:rsidRPr="008A4951">
        <w:rPr>
          <w:rFonts w:ascii="Calibri" w:hAnsi="Calibri" w:cs="Calibri"/>
          <w:sz w:val="18"/>
          <w:szCs w:val="18"/>
          <w:lang w:val="en-CA"/>
        </w:rPr>
        <w:t>.</w:t>
      </w:r>
      <w:r>
        <w:rPr>
          <w:rFonts w:ascii="Calibri" w:hAnsi="Calibri" w:cs="Calibri"/>
          <w:sz w:val="18"/>
          <w:szCs w:val="18"/>
          <w:lang w:val="en-CA"/>
        </w:rPr>
        <w:t xml:space="preserve"> </w:t>
      </w:r>
      <w:r w:rsidRPr="00F77A06">
        <w:rPr>
          <w:rFonts w:ascii="Calibri" w:hAnsi="Calibri" w:cs="Calibri"/>
          <w:sz w:val="18"/>
          <w:szCs w:val="18"/>
          <w:lang w:val="en-CA"/>
        </w:rPr>
        <w:t>The parties to the Agreement acknowledge that it is their express wish that the Agreement be drawn up in English</w:t>
      </w:r>
      <w:r w:rsidR="00505268">
        <w:rPr>
          <w:rFonts w:ascii="Calibri" w:hAnsi="Calibri" w:cs="Calibri"/>
          <w:sz w:val="18"/>
          <w:szCs w:val="18"/>
          <w:lang w:val="en-CA"/>
        </w:rPr>
        <w:t>.</w:t>
      </w:r>
      <w:r w:rsidR="003E496A">
        <w:rPr>
          <w:rFonts w:ascii="Calibri" w:hAnsi="Calibri" w:cs="Calibri"/>
          <w:sz w:val="18"/>
          <w:szCs w:val="18"/>
          <w:lang w:val="en-CA"/>
        </w:rPr>
        <w:t xml:space="preserve"> </w:t>
      </w:r>
      <w:r w:rsidR="003E496A" w:rsidRPr="003E496A">
        <w:rPr>
          <w:rFonts w:ascii="Calibri" w:hAnsi="Calibri" w:cs="Calibri"/>
          <w:sz w:val="18"/>
          <w:szCs w:val="18"/>
        </w:rPr>
        <w:t xml:space="preserve">Les parties </w:t>
      </w:r>
      <w:r w:rsidR="003E496A">
        <w:rPr>
          <w:rFonts w:ascii="Calibri" w:hAnsi="Calibri" w:cs="Calibri"/>
          <w:sz w:val="18"/>
          <w:szCs w:val="18"/>
        </w:rPr>
        <w:t>aux présentes</w:t>
      </w:r>
      <w:r w:rsidR="003E496A" w:rsidRPr="003E496A">
        <w:rPr>
          <w:rFonts w:ascii="Calibri" w:hAnsi="Calibri" w:cs="Calibri"/>
          <w:sz w:val="18"/>
          <w:szCs w:val="18"/>
        </w:rPr>
        <w:t xml:space="preserve"> reconnaissent qu'elles souhaitent expressément que </w:t>
      </w:r>
      <w:r w:rsidR="00235DD3">
        <w:rPr>
          <w:rFonts w:ascii="Calibri" w:hAnsi="Calibri" w:cs="Calibri"/>
          <w:sz w:val="18"/>
          <w:szCs w:val="18"/>
        </w:rPr>
        <w:t>l’Entente</w:t>
      </w:r>
      <w:r w:rsidR="003E496A" w:rsidRPr="003E496A">
        <w:rPr>
          <w:rFonts w:ascii="Calibri" w:hAnsi="Calibri" w:cs="Calibri"/>
          <w:sz w:val="18"/>
          <w:szCs w:val="18"/>
        </w:rPr>
        <w:t xml:space="preserve"> </w:t>
      </w:r>
      <w:r w:rsidR="00462EF1">
        <w:rPr>
          <w:rFonts w:ascii="Calibri" w:hAnsi="Calibri" w:cs="Calibri"/>
          <w:sz w:val="18"/>
          <w:szCs w:val="18"/>
        </w:rPr>
        <w:t>soit rédigé</w:t>
      </w:r>
      <w:r w:rsidR="00235DD3">
        <w:rPr>
          <w:rFonts w:ascii="Calibri" w:hAnsi="Calibri" w:cs="Calibri"/>
          <w:sz w:val="18"/>
          <w:szCs w:val="18"/>
        </w:rPr>
        <w:t xml:space="preserve">e </w:t>
      </w:r>
      <w:r w:rsidR="003E496A" w:rsidRPr="003E496A">
        <w:rPr>
          <w:rFonts w:ascii="Calibri" w:hAnsi="Calibri" w:cs="Calibri"/>
          <w:sz w:val="18"/>
          <w:szCs w:val="18"/>
        </w:rPr>
        <w:t>en anglais.</w:t>
      </w:r>
    </w:p>
    <w:p w14:paraId="05A759E9" w14:textId="77777777" w:rsidR="00047C44" w:rsidRPr="003E496A" w:rsidRDefault="00047C44" w:rsidP="009E0049">
      <w:pPr>
        <w:tabs>
          <w:tab w:val="num" w:pos="426"/>
        </w:tabs>
        <w:spacing w:after="0"/>
        <w:ind w:left="426" w:hanging="426"/>
        <w:jc w:val="both"/>
        <w:rPr>
          <w:rFonts w:ascii="Calibri" w:hAnsi="Calibri" w:cs="Calibri"/>
          <w:sz w:val="18"/>
          <w:szCs w:val="18"/>
        </w:rPr>
      </w:pPr>
    </w:p>
    <w:sectPr w:rsidR="00047C44" w:rsidRPr="003E496A" w:rsidSect="00CE6AE3">
      <w:type w:val="continuous"/>
      <w:pgSz w:w="12240" w:h="15840"/>
      <w:pgMar w:top="1440" w:right="1080" w:bottom="1440" w:left="1080" w:header="708" w:footer="708"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18D1" w14:textId="77777777" w:rsidR="00851C6E" w:rsidRDefault="00851C6E" w:rsidP="00046414">
      <w:pPr>
        <w:spacing w:after="0" w:line="240" w:lineRule="auto"/>
      </w:pPr>
      <w:r>
        <w:separator/>
      </w:r>
    </w:p>
  </w:endnote>
  <w:endnote w:type="continuationSeparator" w:id="0">
    <w:p w14:paraId="50BB38F2" w14:textId="77777777" w:rsidR="00851C6E" w:rsidRDefault="00851C6E" w:rsidP="00046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05A5" w14:textId="77777777" w:rsidR="00851C6E" w:rsidRDefault="00851C6E" w:rsidP="00046414">
      <w:pPr>
        <w:spacing w:after="0" w:line="240" w:lineRule="auto"/>
      </w:pPr>
      <w:r>
        <w:separator/>
      </w:r>
    </w:p>
  </w:footnote>
  <w:footnote w:type="continuationSeparator" w:id="0">
    <w:p w14:paraId="2D970689" w14:textId="77777777" w:rsidR="00851C6E" w:rsidRDefault="00851C6E" w:rsidP="00046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3BE7" w14:textId="68F5FE64" w:rsidR="00046414" w:rsidRDefault="00046414">
    <w:pPr>
      <w:pStyle w:val="Header"/>
    </w:pPr>
    <w:r>
      <w:rPr>
        <w:noProof/>
        <w:lang w:eastAsia="fr-CA"/>
      </w:rPr>
      <w:drawing>
        <wp:inline distT="0" distB="0" distL="0" distR="0" wp14:anchorId="402D327F" wp14:editId="347E365C">
          <wp:extent cx="1073426" cy="620847"/>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RS-institutionnel_horizontal-couleur-Gr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1249" cy="6311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D75D4"/>
    <w:multiLevelType w:val="multilevel"/>
    <w:tmpl w:val="B58AF3E6"/>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DC78E3"/>
    <w:multiLevelType w:val="multilevel"/>
    <w:tmpl w:val="EBACC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7215871">
    <w:abstractNumId w:val="0"/>
  </w:num>
  <w:num w:numId="2" w16cid:durableId="101711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44"/>
    <w:rsid w:val="00000E5C"/>
    <w:rsid w:val="000011F6"/>
    <w:rsid w:val="00016D1B"/>
    <w:rsid w:val="000172A7"/>
    <w:rsid w:val="000303B8"/>
    <w:rsid w:val="00046414"/>
    <w:rsid w:val="00047C44"/>
    <w:rsid w:val="00072D06"/>
    <w:rsid w:val="00073135"/>
    <w:rsid w:val="00074539"/>
    <w:rsid w:val="00075D2F"/>
    <w:rsid w:val="000837C0"/>
    <w:rsid w:val="0008778F"/>
    <w:rsid w:val="000A3E49"/>
    <w:rsid w:val="000B239F"/>
    <w:rsid w:val="000D3F71"/>
    <w:rsid w:val="0010320C"/>
    <w:rsid w:val="00106839"/>
    <w:rsid w:val="00110E3A"/>
    <w:rsid w:val="00153C6F"/>
    <w:rsid w:val="0016152E"/>
    <w:rsid w:val="001671D3"/>
    <w:rsid w:val="001B0B9C"/>
    <w:rsid w:val="001B568E"/>
    <w:rsid w:val="001C3272"/>
    <w:rsid w:val="001E6DCF"/>
    <w:rsid w:val="00212DD7"/>
    <w:rsid w:val="00227906"/>
    <w:rsid w:val="00231B99"/>
    <w:rsid w:val="00235DD3"/>
    <w:rsid w:val="00292774"/>
    <w:rsid w:val="002933A3"/>
    <w:rsid w:val="002A3521"/>
    <w:rsid w:val="002A3D94"/>
    <w:rsid w:val="002A5A1D"/>
    <w:rsid w:val="002A5DFF"/>
    <w:rsid w:val="002C4699"/>
    <w:rsid w:val="002D1062"/>
    <w:rsid w:val="002F401F"/>
    <w:rsid w:val="00302580"/>
    <w:rsid w:val="00312A4C"/>
    <w:rsid w:val="0033641E"/>
    <w:rsid w:val="0034519B"/>
    <w:rsid w:val="00357C55"/>
    <w:rsid w:val="003706E0"/>
    <w:rsid w:val="00390581"/>
    <w:rsid w:val="0039095F"/>
    <w:rsid w:val="00391DEC"/>
    <w:rsid w:val="003A382A"/>
    <w:rsid w:val="003C1720"/>
    <w:rsid w:val="003E496A"/>
    <w:rsid w:val="003F0960"/>
    <w:rsid w:val="00440AD5"/>
    <w:rsid w:val="00442A40"/>
    <w:rsid w:val="00455594"/>
    <w:rsid w:val="00462EF1"/>
    <w:rsid w:val="00472235"/>
    <w:rsid w:val="004A16B0"/>
    <w:rsid w:val="004A76C7"/>
    <w:rsid w:val="004B5AE4"/>
    <w:rsid w:val="004C1F51"/>
    <w:rsid w:val="004E6D79"/>
    <w:rsid w:val="005001F3"/>
    <w:rsid w:val="00505268"/>
    <w:rsid w:val="005341E1"/>
    <w:rsid w:val="0054014C"/>
    <w:rsid w:val="00546A76"/>
    <w:rsid w:val="00560D0F"/>
    <w:rsid w:val="00563617"/>
    <w:rsid w:val="00594A95"/>
    <w:rsid w:val="00596B01"/>
    <w:rsid w:val="005A2D57"/>
    <w:rsid w:val="005A5448"/>
    <w:rsid w:val="005E3B37"/>
    <w:rsid w:val="005F6AF7"/>
    <w:rsid w:val="00600196"/>
    <w:rsid w:val="0062571A"/>
    <w:rsid w:val="00627681"/>
    <w:rsid w:val="00652E10"/>
    <w:rsid w:val="00680966"/>
    <w:rsid w:val="00685DF3"/>
    <w:rsid w:val="0069426E"/>
    <w:rsid w:val="006A335C"/>
    <w:rsid w:val="006D5161"/>
    <w:rsid w:val="00706BAD"/>
    <w:rsid w:val="00715DA5"/>
    <w:rsid w:val="00735DDE"/>
    <w:rsid w:val="00746EBE"/>
    <w:rsid w:val="00760F60"/>
    <w:rsid w:val="00773F63"/>
    <w:rsid w:val="007D71CF"/>
    <w:rsid w:val="007F1BC4"/>
    <w:rsid w:val="00811B1E"/>
    <w:rsid w:val="008508DE"/>
    <w:rsid w:val="00851C6E"/>
    <w:rsid w:val="00860BEF"/>
    <w:rsid w:val="0089678B"/>
    <w:rsid w:val="008A3560"/>
    <w:rsid w:val="008A4951"/>
    <w:rsid w:val="008B1CE1"/>
    <w:rsid w:val="008B6030"/>
    <w:rsid w:val="008D31B3"/>
    <w:rsid w:val="008E4E9F"/>
    <w:rsid w:val="0093089F"/>
    <w:rsid w:val="00960F9D"/>
    <w:rsid w:val="00965FE4"/>
    <w:rsid w:val="009737F4"/>
    <w:rsid w:val="0097657E"/>
    <w:rsid w:val="009C397B"/>
    <w:rsid w:val="009D72E0"/>
    <w:rsid w:val="009E0049"/>
    <w:rsid w:val="00A03988"/>
    <w:rsid w:val="00A20052"/>
    <w:rsid w:val="00A322FA"/>
    <w:rsid w:val="00A337C6"/>
    <w:rsid w:val="00A37370"/>
    <w:rsid w:val="00A74A8C"/>
    <w:rsid w:val="00A81779"/>
    <w:rsid w:val="00A8220C"/>
    <w:rsid w:val="00A858B4"/>
    <w:rsid w:val="00AA0C73"/>
    <w:rsid w:val="00AA7D33"/>
    <w:rsid w:val="00AB4C89"/>
    <w:rsid w:val="00AE20A2"/>
    <w:rsid w:val="00AF288D"/>
    <w:rsid w:val="00B03374"/>
    <w:rsid w:val="00B06BC6"/>
    <w:rsid w:val="00B40A1F"/>
    <w:rsid w:val="00B5037A"/>
    <w:rsid w:val="00BB3CDD"/>
    <w:rsid w:val="00BC715F"/>
    <w:rsid w:val="00BE4803"/>
    <w:rsid w:val="00BE541B"/>
    <w:rsid w:val="00C17860"/>
    <w:rsid w:val="00C21959"/>
    <w:rsid w:val="00C30608"/>
    <w:rsid w:val="00C807EF"/>
    <w:rsid w:val="00CB315D"/>
    <w:rsid w:val="00CD2168"/>
    <w:rsid w:val="00CE3091"/>
    <w:rsid w:val="00CE5745"/>
    <w:rsid w:val="00CE6AE3"/>
    <w:rsid w:val="00D01CBB"/>
    <w:rsid w:val="00D065BC"/>
    <w:rsid w:val="00D22956"/>
    <w:rsid w:val="00D27793"/>
    <w:rsid w:val="00D36BF3"/>
    <w:rsid w:val="00D4492F"/>
    <w:rsid w:val="00D550E3"/>
    <w:rsid w:val="00D65C63"/>
    <w:rsid w:val="00D819AE"/>
    <w:rsid w:val="00D85825"/>
    <w:rsid w:val="00DA6FC7"/>
    <w:rsid w:val="00DA7AA0"/>
    <w:rsid w:val="00DB05AA"/>
    <w:rsid w:val="00DB1ABB"/>
    <w:rsid w:val="00DC1D09"/>
    <w:rsid w:val="00DF08A4"/>
    <w:rsid w:val="00E04405"/>
    <w:rsid w:val="00E13F32"/>
    <w:rsid w:val="00E176CA"/>
    <w:rsid w:val="00E2493F"/>
    <w:rsid w:val="00E637A0"/>
    <w:rsid w:val="00E63CFE"/>
    <w:rsid w:val="00EB4239"/>
    <w:rsid w:val="00EE2930"/>
    <w:rsid w:val="00EE427E"/>
    <w:rsid w:val="00EF21E3"/>
    <w:rsid w:val="00F23C6B"/>
    <w:rsid w:val="00F709D0"/>
    <w:rsid w:val="00F77A06"/>
    <w:rsid w:val="00F95B54"/>
    <w:rsid w:val="00FA6CCC"/>
    <w:rsid w:val="00FB7FB3"/>
    <w:rsid w:val="00FC2F4A"/>
    <w:rsid w:val="00FE22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DC80"/>
  <w15:chartTrackingRefBased/>
  <w15:docId w15:val="{E8001281-E88B-4D11-994A-4AF425D2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C44"/>
    <w:rPr>
      <w:rFonts w:eastAsiaTheme="majorEastAsia" w:cstheme="majorBidi"/>
      <w:color w:val="272727" w:themeColor="text1" w:themeTint="D8"/>
    </w:rPr>
  </w:style>
  <w:style w:type="paragraph" w:styleId="Title">
    <w:name w:val="Title"/>
    <w:basedOn w:val="Normal"/>
    <w:next w:val="Normal"/>
    <w:link w:val="TitleChar"/>
    <w:uiPriority w:val="10"/>
    <w:qFormat/>
    <w:rsid w:val="00047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C44"/>
    <w:pPr>
      <w:spacing w:before="160"/>
      <w:jc w:val="center"/>
    </w:pPr>
    <w:rPr>
      <w:i/>
      <w:iCs/>
      <w:color w:val="404040" w:themeColor="text1" w:themeTint="BF"/>
    </w:rPr>
  </w:style>
  <w:style w:type="character" w:customStyle="1" w:styleId="QuoteChar">
    <w:name w:val="Quote Char"/>
    <w:basedOn w:val="DefaultParagraphFont"/>
    <w:link w:val="Quote"/>
    <w:uiPriority w:val="29"/>
    <w:rsid w:val="00047C44"/>
    <w:rPr>
      <w:i/>
      <w:iCs/>
      <w:color w:val="404040" w:themeColor="text1" w:themeTint="BF"/>
    </w:rPr>
  </w:style>
  <w:style w:type="paragraph" w:styleId="ListParagraph">
    <w:name w:val="List Paragraph"/>
    <w:basedOn w:val="Normal"/>
    <w:uiPriority w:val="34"/>
    <w:qFormat/>
    <w:rsid w:val="00047C44"/>
    <w:pPr>
      <w:ind w:left="720"/>
      <w:contextualSpacing/>
    </w:pPr>
  </w:style>
  <w:style w:type="character" w:styleId="IntenseEmphasis">
    <w:name w:val="Intense Emphasis"/>
    <w:basedOn w:val="DefaultParagraphFont"/>
    <w:uiPriority w:val="21"/>
    <w:qFormat/>
    <w:rsid w:val="00047C44"/>
    <w:rPr>
      <w:i/>
      <w:iCs/>
      <w:color w:val="0F4761" w:themeColor="accent1" w:themeShade="BF"/>
    </w:rPr>
  </w:style>
  <w:style w:type="paragraph" w:styleId="IntenseQuote">
    <w:name w:val="Intense Quote"/>
    <w:basedOn w:val="Normal"/>
    <w:next w:val="Normal"/>
    <w:link w:val="IntenseQuoteChar"/>
    <w:uiPriority w:val="30"/>
    <w:qFormat/>
    <w:rsid w:val="00047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C44"/>
    <w:rPr>
      <w:i/>
      <w:iCs/>
      <w:color w:val="0F4761" w:themeColor="accent1" w:themeShade="BF"/>
    </w:rPr>
  </w:style>
  <w:style w:type="character" w:styleId="IntenseReference">
    <w:name w:val="Intense Reference"/>
    <w:basedOn w:val="DefaultParagraphFont"/>
    <w:uiPriority w:val="32"/>
    <w:qFormat/>
    <w:rsid w:val="00047C44"/>
    <w:rPr>
      <w:b/>
      <w:bCs/>
      <w:smallCaps/>
      <w:color w:val="0F4761" w:themeColor="accent1" w:themeShade="BF"/>
      <w:spacing w:val="5"/>
    </w:rPr>
  </w:style>
  <w:style w:type="character" w:styleId="PlaceholderText">
    <w:name w:val="Placeholder Text"/>
    <w:basedOn w:val="DefaultParagraphFont"/>
    <w:uiPriority w:val="99"/>
    <w:semiHidden/>
    <w:rsid w:val="000B239F"/>
    <w:rPr>
      <w:color w:val="666666"/>
    </w:rPr>
  </w:style>
  <w:style w:type="paragraph" w:styleId="Header">
    <w:name w:val="header"/>
    <w:basedOn w:val="Normal"/>
    <w:link w:val="HeaderChar"/>
    <w:uiPriority w:val="99"/>
    <w:unhideWhenUsed/>
    <w:rsid w:val="0004641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46414"/>
  </w:style>
  <w:style w:type="paragraph" w:styleId="Footer">
    <w:name w:val="footer"/>
    <w:basedOn w:val="Normal"/>
    <w:link w:val="FooterChar"/>
    <w:uiPriority w:val="99"/>
    <w:unhideWhenUsed/>
    <w:rsid w:val="00046414"/>
    <w:pPr>
      <w:tabs>
        <w:tab w:val="center" w:pos="4703"/>
        <w:tab w:val="right" w:pos="9406"/>
      </w:tabs>
      <w:spacing w:after="0" w:line="240" w:lineRule="auto"/>
    </w:pPr>
  </w:style>
  <w:style w:type="character" w:customStyle="1" w:styleId="FooterChar">
    <w:name w:val="Footer Char"/>
    <w:basedOn w:val="DefaultParagraphFont"/>
    <w:link w:val="Footer"/>
    <w:uiPriority w:val="99"/>
    <w:rsid w:val="00046414"/>
  </w:style>
  <w:style w:type="paragraph" w:styleId="Revision">
    <w:name w:val="Revision"/>
    <w:hidden/>
    <w:uiPriority w:val="99"/>
    <w:semiHidden/>
    <w:rsid w:val="00227906"/>
    <w:pPr>
      <w:spacing w:after="0" w:line="240" w:lineRule="auto"/>
    </w:pPr>
  </w:style>
  <w:style w:type="character" w:styleId="CommentReference">
    <w:name w:val="annotation reference"/>
    <w:basedOn w:val="DefaultParagraphFont"/>
    <w:uiPriority w:val="99"/>
    <w:semiHidden/>
    <w:unhideWhenUsed/>
    <w:rsid w:val="0062571A"/>
    <w:rPr>
      <w:sz w:val="16"/>
      <w:szCs w:val="16"/>
    </w:rPr>
  </w:style>
  <w:style w:type="paragraph" w:styleId="CommentText">
    <w:name w:val="annotation text"/>
    <w:basedOn w:val="Normal"/>
    <w:link w:val="CommentTextChar"/>
    <w:uiPriority w:val="99"/>
    <w:unhideWhenUsed/>
    <w:rsid w:val="0062571A"/>
    <w:pPr>
      <w:spacing w:line="240" w:lineRule="auto"/>
    </w:pPr>
    <w:rPr>
      <w:sz w:val="20"/>
      <w:szCs w:val="20"/>
    </w:rPr>
  </w:style>
  <w:style w:type="character" w:customStyle="1" w:styleId="CommentTextChar">
    <w:name w:val="Comment Text Char"/>
    <w:basedOn w:val="DefaultParagraphFont"/>
    <w:link w:val="CommentText"/>
    <w:uiPriority w:val="99"/>
    <w:rsid w:val="0062571A"/>
    <w:rPr>
      <w:sz w:val="20"/>
      <w:szCs w:val="20"/>
    </w:rPr>
  </w:style>
  <w:style w:type="paragraph" w:styleId="CommentSubject">
    <w:name w:val="annotation subject"/>
    <w:basedOn w:val="CommentText"/>
    <w:next w:val="CommentText"/>
    <w:link w:val="CommentSubjectChar"/>
    <w:uiPriority w:val="99"/>
    <w:semiHidden/>
    <w:unhideWhenUsed/>
    <w:rsid w:val="0062571A"/>
    <w:rPr>
      <w:b/>
      <w:bCs/>
    </w:rPr>
  </w:style>
  <w:style w:type="character" w:customStyle="1" w:styleId="CommentSubjectChar">
    <w:name w:val="Comment Subject Char"/>
    <w:basedOn w:val="CommentTextChar"/>
    <w:link w:val="CommentSubject"/>
    <w:uiPriority w:val="99"/>
    <w:semiHidden/>
    <w:rsid w:val="006257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5212">
      <w:bodyDiv w:val="1"/>
      <w:marLeft w:val="0"/>
      <w:marRight w:val="0"/>
      <w:marTop w:val="0"/>
      <w:marBottom w:val="0"/>
      <w:divBdr>
        <w:top w:val="none" w:sz="0" w:space="0" w:color="auto"/>
        <w:left w:val="none" w:sz="0" w:space="0" w:color="auto"/>
        <w:bottom w:val="none" w:sz="0" w:space="0" w:color="auto"/>
        <w:right w:val="none" w:sz="0" w:space="0" w:color="auto"/>
      </w:divBdr>
    </w:div>
    <w:div w:id="898201046">
      <w:bodyDiv w:val="1"/>
      <w:marLeft w:val="0"/>
      <w:marRight w:val="0"/>
      <w:marTop w:val="0"/>
      <w:marBottom w:val="0"/>
      <w:divBdr>
        <w:top w:val="none" w:sz="0" w:space="0" w:color="auto"/>
        <w:left w:val="none" w:sz="0" w:space="0" w:color="auto"/>
        <w:bottom w:val="none" w:sz="0" w:space="0" w:color="auto"/>
        <w:right w:val="none" w:sz="0" w:space="0" w:color="auto"/>
      </w:divBdr>
    </w:div>
    <w:div w:id="1630479003">
      <w:bodyDiv w:val="1"/>
      <w:marLeft w:val="0"/>
      <w:marRight w:val="0"/>
      <w:marTop w:val="0"/>
      <w:marBottom w:val="0"/>
      <w:divBdr>
        <w:top w:val="none" w:sz="0" w:space="0" w:color="auto"/>
        <w:left w:val="none" w:sz="0" w:space="0" w:color="auto"/>
        <w:bottom w:val="none" w:sz="0" w:space="0" w:color="auto"/>
        <w:right w:val="none" w:sz="0" w:space="0" w:color="auto"/>
      </w:divBdr>
    </w:div>
    <w:div w:id="18380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D7AB8C25-5B8E-47B0-9AC8-D5EFC5916952}"/>
      </w:docPartPr>
      <w:docPartBody>
        <w:p w:rsidR="006925C9" w:rsidRDefault="006925C9">
          <w:r w:rsidRPr="0096031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C9"/>
    <w:rsid w:val="000F2ECE"/>
    <w:rsid w:val="002D5C8A"/>
    <w:rsid w:val="00312A4C"/>
    <w:rsid w:val="003706E0"/>
    <w:rsid w:val="00560D0F"/>
    <w:rsid w:val="005C58C9"/>
    <w:rsid w:val="005E1EC7"/>
    <w:rsid w:val="00640946"/>
    <w:rsid w:val="006925C9"/>
    <w:rsid w:val="00706BAD"/>
    <w:rsid w:val="00842A9D"/>
    <w:rsid w:val="00846E4D"/>
    <w:rsid w:val="008508DE"/>
    <w:rsid w:val="00987D3F"/>
    <w:rsid w:val="00D13C1D"/>
    <w:rsid w:val="00EB4239"/>
    <w:rsid w:val="00FD02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5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5F5DAC072CA44BBE74E614256981DC" ma:contentTypeVersion="12" ma:contentTypeDescription="Crée un document." ma:contentTypeScope="" ma:versionID="b7f341b860a8d2f1c5ccd0b291f2cc18">
  <xsd:schema xmlns:xsd="http://www.w3.org/2001/XMLSchema" xmlns:xs="http://www.w3.org/2001/XMLSchema" xmlns:p="http://schemas.microsoft.com/office/2006/metadata/properties" xmlns:ns2="99b80e0e-df1c-4509-8a6f-0d1d4db81eb2" xmlns:ns3="98c9ab22-d2f3-4c04-bfc4-a29493c83e98" targetNamespace="http://schemas.microsoft.com/office/2006/metadata/properties" ma:root="true" ma:fieldsID="d8f16580dc193a069c99f31d01c1703b" ns2:_="" ns3:_="">
    <xsd:import namespace="99b80e0e-df1c-4509-8a6f-0d1d4db81eb2"/>
    <xsd:import namespace="98c9ab22-d2f3-4c04-bfc4-a29493c83e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80e0e-df1c-4509-8a6f-0d1d4db81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71bcca-0858-42f3-9c3f-9bba573efcb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9ab22-d2f3-4c04-bfc4-a29493c83e9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b80e0e-df1c-4509-8a6f-0d1d4db81e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622313-FE8C-4833-BC26-C2D027DB37B1}">
  <ds:schemaRefs>
    <ds:schemaRef ds:uri="http://schemas.microsoft.com/sharepoint/v3/contenttype/forms"/>
  </ds:schemaRefs>
</ds:datastoreItem>
</file>

<file path=customXml/itemProps2.xml><?xml version="1.0" encoding="utf-8"?>
<ds:datastoreItem xmlns:ds="http://schemas.openxmlformats.org/officeDocument/2006/customXml" ds:itemID="{BDD80995-9C4F-4D2D-8C6A-07762CFFA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80e0e-df1c-4509-8a6f-0d1d4db81eb2"/>
    <ds:schemaRef ds:uri="98c9ab22-d2f3-4c04-bfc4-a29493c83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8D56C-9FF2-4D65-849E-C2BBDC67AAE3}">
  <ds:schemaRefs>
    <ds:schemaRef ds:uri="http://schemas.microsoft.com/office/2006/metadata/properties"/>
    <ds:schemaRef ds:uri="http://schemas.microsoft.com/office/infopath/2007/PartnerControls"/>
    <ds:schemaRef ds:uri="99b80e0e-df1c-4509-8a6f-0d1d4db81e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1281</Words>
  <Characters>7308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Couët, Julie</dc:creator>
  <cp:keywords/>
  <dc:description/>
  <cp:lastModifiedBy>Larda, Sacha</cp:lastModifiedBy>
  <cp:revision>2</cp:revision>
  <dcterms:created xsi:type="dcterms:W3CDTF">2025-01-13T14:56:00Z</dcterms:created>
  <dcterms:modified xsi:type="dcterms:W3CDTF">2025-01-13T14:56:00Z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0x010100D65F5DAC072CA44BBE74E614256981DC</vt:lpwstr>
  </property>
</Properties>
</file>