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EB7D1" w14:textId="77777777" w:rsidR="002A5A1D" w:rsidRPr="008A4951" w:rsidRDefault="002A5A1D" w:rsidP="009E0049">
      <w:pPr>
        <w:spacing w:after="0"/>
        <w:jc w:val="both"/>
        <w:rPr>
          <w:rFonts w:ascii="Calibri" w:hAnsi="Calibri" w:cs="Calibri"/>
          <w:b/>
          <w:bCs/>
          <w:sz w:val="18"/>
          <w:szCs w:val="18"/>
          <w:lang w:val="en-CA"/>
        </w:rPr>
      </w:pPr>
    </w:p>
    <w:p w14:paraId="14B95688" w14:textId="2398BE70" w:rsidR="00047C44" w:rsidRPr="00A66791" w:rsidRDefault="00A66791" w:rsidP="009E0049">
      <w:pPr>
        <w:spacing w:after="0"/>
        <w:jc w:val="both"/>
        <w:rPr>
          <w:rFonts w:ascii="Calibri" w:hAnsi="Calibri" w:cs="Calibri"/>
          <w:b/>
          <w:bCs/>
          <w:sz w:val="18"/>
          <w:szCs w:val="18"/>
        </w:rPr>
      </w:pPr>
      <w:r w:rsidRPr="00075D2F">
        <w:rPr>
          <w:rFonts w:ascii="Calibri" w:hAnsi="Calibri" w:cs="Calibri"/>
          <w:b/>
          <w:bCs/>
          <w:sz w:val="18"/>
          <w:szCs w:val="18"/>
        </w:rPr>
        <w:t xml:space="preserve">Conditions </w:t>
      </w:r>
      <w:r w:rsidR="00111D04">
        <w:rPr>
          <w:rFonts w:ascii="Calibri" w:hAnsi="Calibri" w:cs="Calibri"/>
          <w:b/>
          <w:bCs/>
          <w:sz w:val="18"/>
          <w:szCs w:val="18"/>
        </w:rPr>
        <w:t xml:space="preserve">générales </w:t>
      </w:r>
      <w:r w:rsidRPr="00075D2F">
        <w:rPr>
          <w:rFonts w:ascii="Calibri" w:hAnsi="Calibri" w:cs="Calibri"/>
          <w:b/>
          <w:bCs/>
          <w:sz w:val="18"/>
          <w:szCs w:val="18"/>
        </w:rPr>
        <w:t>de service</w:t>
      </w:r>
      <w:r>
        <w:rPr>
          <w:rFonts w:ascii="Calibri" w:hAnsi="Calibri" w:cs="Calibri"/>
          <w:b/>
          <w:bCs/>
          <w:sz w:val="18"/>
          <w:szCs w:val="18"/>
        </w:rPr>
        <w:t>s</w:t>
      </w:r>
      <w:r w:rsidRPr="00075D2F">
        <w:rPr>
          <w:rFonts w:ascii="Calibri" w:hAnsi="Calibri" w:cs="Calibri"/>
          <w:b/>
          <w:bCs/>
          <w:sz w:val="18"/>
          <w:szCs w:val="18"/>
        </w:rPr>
        <w:t>/analyse</w:t>
      </w:r>
      <w:r>
        <w:rPr>
          <w:rFonts w:ascii="Calibri" w:hAnsi="Calibri" w:cs="Calibri"/>
          <w:b/>
          <w:bCs/>
          <w:sz w:val="18"/>
          <w:szCs w:val="18"/>
        </w:rPr>
        <w:t>s</w:t>
      </w:r>
      <w:r w:rsidRPr="00075D2F">
        <w:rPr>
          <w:rFonts w:ascii="Calibri" w:hAnsi="Calibri" w:cs="Calibri"/>
          <w:b/>
          <w:bCs/>
          <w:sz w:val="18"/>
          <w:szCs w:val="18"/>
        </w:rPr>
        <w:t xml:space="preserve"> de l'INRS </w:t>
      </w:r>
      <w:r w:rsidR="00D85825" w:rsidRPr="00A66791">
        <w:rPr>
          <w:rFonts w:ascii="Calibri" w:hAnsi="Calibri" w:cs="Calibri"/>
          <w:b/>
          <w:bCs/>
          <w:sz w:val="18"/>
          <w:szCs w:val="18"/>
        </w:rPr>
        <w:t>(“</w:t>
      </w:r>
      <w:r w:rsidR="003F5C23">
        <w:rPr>
          <w:rFonts w:ascii="Calibri" w:hAnsi="Calibri" w:cs="Calibri"/>
          <w:b/>
          <w:bCs/>
          <w:sz w:val="18"/>
          <w:szCs w:val="18"/>
        </w:rPr>
        <w:t>Contrat</w:t>
      </w:r>
      <w:r w:rsidR="00D85825" w:rsidRPr="00A66791">
        <w:rPr>
          <w:rFonts w:ascii="Calibri" w:hAnsi="Calibri" w:cs="Calibri"/>
          <w:b/>
          <w:bCs/>
          <w:sz w:val="18"/>
          <w:szCs w:val="18"/>
        </w:rPr>
        <w:t>”)</w:t>
      </w:r>
      <w:r w:rsidR="00047C44" w:rsidRPr="00A66791">
        <w:rPr>
          <w:rFonts w:ascii="Calibri" w:hAnsi="Calibri" w:cs="Calibri"/>
          <w:b/>
          <w:bCs/>
          <w:sz w:val="18"/>
          <w:szCs w:val="18"/>
        </w:rPr>
        <w:t xml:space="preserve"> </w:t>
      </w:r>
    </w:p>
    <w:p w14:paraId="3F8062AB" w14:textId="4302BCCE" w:rsidR="00E176CA" w:rsidRPr="00A66791" w:rsidRDefault="00E176CA" w:rsidP="009E0049">
      <w:pPr>
        <w:spacing w:after="0"/>
        <w:jc w:val="both"/>
        <w:rPr>
          <w:rFonts w:ascii="Calibri" w:hAnsi="Calibri" w:cs="Calibri"/>
          <w:sz w:val="18"/>
          <w:szCs w:val="18"/>
        </w:rPr>
      </w:pPr>
    </w:p>
    <w:p w14:paraId="25396C0F" w14:textId="008F76C8" w:rsidR="00047C44" w:rsidRPr="008F0701" w:rsidRDefault="00BD2A70" w:rsidP="009E0049">
      <w:pPr>
        <w:spacing w:after="0"/>
        <w:jc w:val="both"/>
        <w:rPr>
          <w:rFonts w:ascii="Calibri" w:hAnsi="Calibri" w:cs="Calibri"/>
          <w:b/>
          <w:bCs/>
          <w:sz w:val="18"/>
          <w:szCs w:val="18"/>
        </w:rPr>
      </w:pPr>
      <w:r w:rsidRPr="00BD2A70">
        <w:rPr>
          <w:rFonts w:ascii="Calibri" w:hAnsi="Calibri" w:cs="Calibri"/>
          <w:b/>
          <w:bCs/>
          <w:sz w:val="18"/>
          <w:szCs w:val="18"/>
        </w:rPr>
        <w:t xml:space="preserve">Toutes demandes reçues via la </w:t>
      </w:r>
      <w:r w:rsidR="00E9119D" w:rsidRPr="00E9119D">
        <w:rPr>
          <w:rFonts w:ascii="Calibri" w:hAnsi="Calibri" w:cs="Calibri"/>
          <w:b/>
          <w:bCs/>
          <w:sz w:val="18"/>
          <w:szCs w:val="18"/>
        </w:rPr>
        <w:t xml:space="preserve">Plateforme d'Interactions Moléculaires et de Caractérisation des Matériaux (IMCM) </w:t>
      </w:r>
      <w:r w:rsidR="00326428" w:rsidRPr="00BD2A70">
        <w:rPr>
          <w:rFonts w:ascii="Calibri" w:hAnsi="Calibri" w:cs="Calibri"/>
          <w:b/>
          <w:bCs/>
          <w:sz w:val="18"/>
          <w:szCs w:val="18"/>
        </w:rPr>
        <w:t xml:space="preserve">sont soumis aux présentes Conditions </w:t>
      </w:r>
      <w:r w:rsidR="00326428">
        <w:rPr>
          <w:rFonts w:ascii="Calibri" w:hAnsi="Calibri" w:cs="Calibri"/>
          <w:b/>
          <w:bCs/>
          <w:sz w:val="18"/>
          <w:szCs w:val="18"/>
        </w:rPr>
        <w:t>standard d’achat</w:t>
      </w:r>
      <w:r w:rsidR="00326428" w:rsidRPr="00BD2A70">
        <w:rPr>
          <w:rFonts w:ascii="Calibri" w:hAnsi="Calibri" w:cs="Calibri"/>
          <w:b/>
          <w:bCs/>
          <w:sz w:val="18"/>
          <w:szCs w:val="18"/>
        </w:rPr>
        <w:t xml:space="preserve"> (</w:t>
      </w:r>
      <w:r w:rsidR="00326428">
        <w:rPr>
          <w:rFonts w:ascii="Calibri" w:hAnsi="Calibri" w:cs="Calibri"/>
          <w:b/>
          <w:bCs/>
          <w:sz w:val="18"/>
          <w:szCs w:val="18"/>
        </w:rPr>
        <w:t>CSA</w:t>
      </w:r>
      <w:r w:rsidR="00326428" w:rsidRPr="00BD2A70">
        <w:rPr>
          <w:rFonts w:ascii="Calibri" w:hAnsi="Calibri" w:cs="Calibri"/>
          <w:b/>
          <w:bCs/>
          <w:sz w:val="18"/>
          <w:szCs w:val="18"/>
        </w:rPr>
        <w:t>)</w:t>
      </w:r>
      <w:r w:rsidR="00440AD5" w:rsidRPr="00BD2A70">
        <w:rPr>
          <w:rFonts w:ascii="Calibri" w:hAnsi="Calibri" w:cs="Calibri"/>
          <w:b/>
          <w:bCs/>
          <w:sz w:val="18"/>
          <w:szCs w:val="18"/>
        </w:rPr>
        <w:t xml:space="preserve">. </w:t>
      </w:r>
      <w:r w:rsidR="008F0701" w:rsidRPr="00075D2F">
        <w:rPr>
          <w:rFonts w:ascii="Calibri" w:hAnsi="Calibri" w:cs="Calibri"/>
          <w:b/>
          <w:bCs/>
          <w:sz w:val="18"/>
          <w:szCs w:val="18"/>
        </w:rPr>
        <w:t xml:space="preserve">Le </w:t>
      </w:r>
      <w:r w:rsidR="009978EB">
        <w:rPr>
          <w:rFonts w:ascii="Calibri" w:hAnsi="Calibri" w:cs="Calibri"/>
          <w:b/>
          <w:bCs/>
          <w:sz w:val="18"/>
          <w:szCs w:val="18"/>
        </w:rPr>
        <w:t>C</w:t>
      </w:r>
      <w:r w:rsidR="008F0701" w:rsidRPr="00075D2F">
        <w:rPr>
          <w:rFonts w:ascii="Calibri" w:hAnsi="Calibri" w:cs="Calibri"/>
          <w:b/>
          <w:bCs/>
          <w:sz w:val="18"/>
          <w:szCs w:val="18"/>
        </w:rPr>
        <w:t xml:space="preserve">lient sera réputé avoir accepté d'être lié par ces </w:t>
      </w:r>
      <w:r w:rsidR="008F0701">
        <w:rPr>
          <w:rFonts w:ascii="Calibri" w:hAnsi="Calibri" w:cs="Calibri"/>
          <w:b/>
          <w:bCs/>
          <w:sz w:val="18"/>
          <w:szCs w:val="18"/>
        </w:rPr>
        <w:t>C</w:t>
      </w:r>
      <w:r w:rsidR="008F0701" w:rsidRPr="00075D2F">
        <w:rPr>
          <w:rFonts w:ascii="Calibri" w:hAnsi="Calibri" w:cs="Calibri"/>
          <w:b/>
          <w:bCs/>
          <w:sz w:val="18"/>
          <w:szCs w:val="18"/>
        </w:rPr>
        <w:t xml:space="preserve">onditions en acceptant l'offre de service de l'INRS, l'exécution des services </w:t>
      </w:r>
      <w:r w:rsidR="008F0701">
        <w:rPr>
          <w:rFonts w:ascii="Calibri" w:hAnsi="Calibri" w:cs="Calibri"/>
          <w:b/>
          <w:bCs/>
          <w:sz w:val="18"/>
          <w:szCs w:val="18"/>
        </w:rPr>
        <w:t xml:space="preserve">et </w:t>
      </w:r>
      <w:r w:rsidR="008F0701" w:rsidRPr="00075D2F">
        <w:rPr>
          <w:rFonts w:ascii="Calibri" w:hAnsi="Calibri" w:cs="Calibri"/>
          <w:b/>
          <w:bCs/>
          <w:sz w:val="18"/>
          <w:szCs w:val="18"/>
        </w:rPr>
        <w:t>analyse</w:t>
      </w:r>
      <w:r w:rsidR="008F0701">
        <w:rPr>
          <w:rFonts w:ascii="Calibri" w:hAnsi="Calibri" w:cs="Calibri"/>
          <w:b/>
          <w:bCs/>
          <w:sz w:val="18"/>
          <w:szCs w:val="18"/>
        </w:rPr>
        <w:t>s</w:t>
      </w:r>
      <w:r w:rsidR="008F0701" w:rsidRPr="00075D2F">
        <w:rPr>
          <w:rFonts w:ascii="Calibri" w:hAnsi="Calibri" w:cs="Calibri"/>
          <w:b/>
          <w:bCs/>
          <w:sz w:val="18"/>
          <w:szCs w:val="18"/>
        </w:rPr>
        <w:t xml:space="preserve"> et la fourniture du ou des livrables (définis ci-dessous) par l'INRS</w:t>
      </w:r>
      <w:r w:rsidR="00047C44" w:rsidRPr="008F0701">
        <w:rPr>
          <w:rFonts w:ascii="Calibri" w:hAnsi="Calibri" w:cs="Calibri"/>
          <w:b/>
          <w:bCs/>
          <w:sz w:val="18"/>
          <w:szCs w:val="18"/>
        </w:rPr>
        <w:t xml:space="preserve">.  </w:t>
      </w:r>
    </w:p>
    <w:p w14:paraId="3B6CCA4D" w14:textId="77777777" w:rsidR="00E176CA" w:rsidRPr="008F0701" w:rsidRDefault="00E176CA" w:rsidP="009E0049">
      <w:pPr>
        <w:spacing w:after="0"/>
        <w:jc w:val="both"/>
        <w:rPr>
          <w:rFonts w:ascii="Calibri" w:hAnsi="Calibri" w:cs="Calibri"/>
          <w:b/>
          <w:bCs/>
          <w:sz w:val="18"/>
          <w:szCs w:val="18"/>
        </w:rPr>
      </w:pPr>
    </w:p>
    <w:p w14:paraId="68251B9E" w14:textId="77777777" w:rsidR="00E176CA" w:rsidRPr="008F0701" w:rsidRDefault="00E176CA" w:rsidP="009E0049">
      <w:pPr>
        <w:numPr>
          <w:ilvl w:val="0"/>
          <w:numId w:val="1"/>
        </w:numPr>
        <w:spacing w:after="0"/>
        <w:jc w:val="both"/>
        <w:rPr>
          <w:rFonts w:ascii="Calibri" w:hAnsi="Calibri" w:cs="Calibri"/>
          <w:b/>
          <w:bCs/>
          <w:sz w:val="18"/>
          <w:szCs w:val="18"/>
        </w:rPr>
        <w:sectPr w:rsidR="00E176CA" w:rsidRPr="008F0701" w:rsidSect="00CE6AE3">
          <w:headerReference w:type="default" r:id="rId10"/>
          <w:pgSz w:w="12240" w:h="15840"/>
          <w:pgMar w:top="1440" w:right="1080" w:bottom="1440" w:left="1080" w:header="567" w:footer="708" w:gutter="0"/>
          <w:cols w:space="708"/>
          <w:docGrid w:linePitch="360"/>
        </w:sectPr>
      </w:pPr>
    </w:p>
    <w:p w14:paraId="26F34E52" w14:textId="6EFF3D12" w:rsidR="00047C44" w:rsidRPr="00172860" w:rsidRDefault="008F0701" w:rsidP="009E0049">
      <w:pPr>
        <w:numPr>
          <w:ilvl w:val="0"/>
          <w:numId w:val="1"/>
        </w:numPr>
        <w:tabs>
          <w:tab w:val="clear" w:pos="720"/>
          <w:tab w:val="num" w:pos="426"/>
        </w:tabs>
        <w:spacing w:after="0"/>
        <w:ind w:left="426" w:hanging="426"/>
        <w:jc w:val="both"/>
        <w:rPr>
          <w:rFonts w:ascii="Calibri" w:hAnsi="Calibri" w:cs="Calibri"/>
          <w:sz w:val="18"/>
          <w:szCs w:val="18"/>
        </w:rPr>
      </w:pPr>
      <w:r w:rsidRPr="00172860">
        <w:rPr>
          <w:rFonts w:ascii="Calibri" w:hAnsi="Calibri" w:cs="Calibri"/>
          <w:b/>
          <w:bCs/>
          <w:sz w:val="18"/>
          <w:szCs w:val="18"/>
        </w:rPr>
        <w:t>Définitions</w:t>
      </w:r>
      <w:r w:rsidR="00047C44" w:rsidRPr="00172860">
        <w:rPr>
          <w:rFonts w:ascii="Calibri" w:hAnsi="Calibri" w:cs="Calibri"/>
          <w:sz w:val="18"/>
          <w:szCs w:val="18"/>
        </w:rPr>
        <w:t xml:space="preserve">. </w:t>
      </w:r>
      <w:r w:rsidR="00172860" w:rsidRPr="00172860">
        <w:rPr>
          <w:rFonts w:ascii="Calibri" w:hAnsi="Calibri" w:cs="Calibri"/>
          <w:sz w:val="18"/>
          <w:szCs w:val="18"/>
        </w:rPr>
        <w:t>Pour ces CSA, les d</w:t>
      </w:r>
      <w:r w:rsidR="00172860">
        <w:rPr>
          <w:rFonts w:ascii="Calibri" w:hAnsi="Calibri" w:cs="Calibri"/>
          <w:sz w:val="18"/>
          <w:szCs w:val="18"/>
        </w:rPr>
        <w:t>é</w:t>
      </w:r>
      <w:r w:rsidR="00172860" w:rsidRPr="00172860">
        <w:rPr>
          <w:rFonts w:ascii="Calibri" w:hAnsi="Calibri" w:cs="Calibri"/>
          <w:sz w:val="18"/>
          <w:szCs w:val="18"/>
        </w:rPr>
        <w:t>finitions suivantes s’appliquent</w:t>
      </w:r>
      <w:r w:rsidR="00047C44" w:rsidRPr="00172860">
        <w:rPr>
          <w:rFonts w:ascii="Calibri" w:hAnsi="Calibri" w:cs="Calibri"/>
          <w:sz w:val="18"/>
          <w:szCs w:val="18"/>
        </w:rPr>
        <w:t>:</w:t>
      </w:r>
    </w:p>
    <w:p w14:paraId="33AB8324" w14:textId="598514F8" w:rsidR="00B5037A" w:rsidRPr="006330BC" w:rsidRDefault="00047C44" w:rsidP="009E0049">
      <w:pPr>
        <w:numPr>
          <w:ilvl w:val="1"/>
          <w:numId w:val="1"/>
        </w:numPr>
        <w:tabs>
          <w:tab w:val="clear" w:pos="1440"/>
        </w:tabs>
        <w:spacing w:after="0"/>
        <w:ind w:left="709" w:hanging="283"/>
        <w:jc w:val="both"/>
        <w:rPr>
          <w:rFonts w:ascii="Calibri" w:hAnsi="Calibri" w:cs="Calibri"/>
          <w:sz w:val="18"/>
          <w:szCs w:val="18"/>
        </w:rPr>
      </w:pPr>
      <w:r w:rsidRPr="006330BC">
        <w:rPr>
          <w:rFonts w:ascii="Calibri" w:hAnsi="Calibri" w:cs="Calibri"/>
          <w:sz w:val="18"/>
          <w:szCs w:val="18"/>
        </w:rPr>
        <w:t>“</w:t>
      </w:r>
      <w:r w:rsidR="0016152E" w:rsidRPr="006330BC">
        <w:rPr>
          <w:rFonts w:ascii="Calibri" w:hAnsi="Calibri" w:cs="Calibri"/>
          <w:sz w:val="18"/>
          <w:szCs w:val="18"/>
        </w:rPr>
        <w:t>Client</w:t>
      </w:r>
      <w:r w:rsidRPr="006330BC">
        <w:rPr>
          <w:rFonts w:ascii="Calibri" w:hAnsi="Calibri" w:cs="Calibri"/>
          <w:sz w:val="18"/>
          <w:szCs w:val="18"/>
        </w:rPr>
        <w:t xml:space="preserve">” </w:t>
      </w:r>
      <w:r w:rsidR="006330BC" w:rsidRPr="00075D2F">
        <w:rPr>
          <w:rFonts w:ascii="Calibri" w:hAnsi="Calibri" w:cs="Calibri"/>
          <w:sz w:val="18"/>
          <w:szCs w:val="18"/>
        </w:rPr>
        <w:t>désigne l'entreprise ou l'organisation qui demande des services ou des analyses à l'INRS</w:t>
      </w:r>
      <w:r w:rsidR="00563617" w:rsidRPr="006330BC">
        <w:rPr>
          <w:rFonts w:ascii="Calibri" w:hAnsi="Calibri" w:cs="Calibri"/>
          <w:sz w:val="18"/>
          <w:szCs w:val="18"/>
        </w:rPr>
        <w:t>.</w:t>
      </w:r>
    </w:p>
    <w:p w14:paraId="1646E4DB" w14:textId="7D483804" w:rsidR="00B5037A" w:rsidRPr="006330BC" w:rsidRDefault="00047C44" w:rsidP="009E0049">
      <w:pPr>
        <w:numPr>
          <w:ilvl w:val="1"/>
          <w:numId w:val="1"/>
        </w:numPr>
        <w:tabs>
          <w:tab w:val="clear" w:pos="1440"/>
        </w:tabs>
        <w:spacing w:after="0"/>
        <w:ind w:left="709" w:hanging="283"/>
        <w:jc w:val="both"/>
        <w:rPr>
          <w:rFonts w:ascii="Calibri" w:hAnsi="Calibri" w:cs="Calibri"/>
          <w:sz w:val="18"/>
          <w:szCs w:val="18"/>
        </w:rPr>
      </w:pPr>
      <w:r w:rsidRPr="006330BC">
        <w:rPr>
          <w:rFonts w:ascii="Calibri" w:hAnsi="Calibri" w:cs="Calibri"/>
          <w:sz w:val="18"/>
          <w:szCs w:val="18"/>
        </w:rPr>
        <w:t>“</w:t>
      </w:r>
      <w:r w:rsidR="006330BC" w:rsidRPr="006330BC">
        <w:rPr>
          <w:rFonts w:ascii="Calibri" w:hAnsi="Calibri" w:cs="Calibri"/>
          <w:sz w:val="18"/>
          <w:szCs w:val="18"/>
        </w:rPr>
        <w:t>Livrable</w:t>
      </w:r>
      <w:r w:rsidRPr="006330BC">
        <w:rPr>
          <w:rFonts w:ascii="Calibri" w:hAnsi="Calibri" w:cs="Calibri"/>
          <w:sz w:val="18"/>
          <w:szCs w:val="18"/>
        </w:rPr>
        <w:t xml:space="preserve">” </w:t>
      </w:r>
      <w:r w:rsidR="006330BC" w:rsidRPr="00075D2F">
        <w:rPr>
          <w:rFonts w:ascii="Calibri" w:hAnsi="Calibri" w:cs="Calibri"/>
          <w:sz w:val="18"/>
          <w:szCs w:val="18"/>
        </w:rPr>
        <w:t>désigne tout produit livrable ou autre produit résultant des services/analyses, et tout matériel, donnée et documentation connexe élaboré par l'INRS conformément à ces services/analyses</w:t>
      </w:r>
      <w:r w:rsidR="00563617" w:rsidRPr="006330BC">
        <w:rPr>
          <w:rFonts w:ascii="Calibri" w:hAnsi="Calibri" w:cs="Calibri"/>
          <w:sz w:val="18"/>
          <w:szCs w:val="18"/>
        </w:rPr>
        <w:t>.</w:t>
      </w:r>
    </w:p>
    <w:p w14:paraId="481FE655" w14:textId="6EFB853D" w:rsidR="00B5037A" w:rsidRPr="00630ABD" w:rsidRDefault="00047C44" w:rsidP="009E0049">
      <w:pPr>
        <w:numPr>
          <w:ilvl w:val="1"/>
          <w:numId w:val="1"/>
        </w:numPr>
        <w:tabs>
          <w:tab w:val="clear" w:pos="1440"/>
        </w:tabs>
        <w:spacing w:after="0"/>
        <w:ind w:left="709" w:hanging="283"/>
        <w:jc w:val="both"/>
        <w:rPr>
          <w:rFonts w:ascii="Calibri" w:hAnsi="Calibri" w:cs="Calibri"/>
          <w:sz w:val="18"/>
          <w:szCs w:val="18"/>
        </w:rPr>
      </w:pPr>
      <w:r w:rsidRPr="00630ABD">
        <w:rPr>
          <w:rFonts w:ascii="Calibri" w:hAnsi="Calibri" w:cs="Calibri"/>
          <w:sz w:val="18"/>
          <w:szCs w:val="18"/>
        </w:rPr>
        <w:t>“</w:t>
      </w:r>
      <w:r w:rsidR="00630ABD" w:rsidRPr="00630ABD">
        <w:rPr>
          <w:rFonts w:ascii="Calibri" w:hAnsi="Calibri" w:cs="Calibri"/>
          <w:sz w:val="18"/>
          <w:szCs w:val="18"/>
        </w:rPr>
        <w:t>Date de livraison</w:t>
      </w:r>
      <w:r w:rsidRPr="00630ABD">
        <w:rPr>
          <w:rFonts w:ascii="Calibri" w:hAnsi="Calibri" w:cs="Calibri"/>
          <w:sz w:val="18"/>
          <w:szCs w:val="18"/>
        </w:rPr>
        <w:t xml:space="preserve">” </w:t>
      </w:r>
      <w:r w:rsidR="00630ABD" w:rsidRPr="00075D2F">
        <w:rPr>
          <w:rFonts w:ascii="Calibri" w:hAnsi="Calibri" w:cs="Calibri"/>
          <w:sz w:val="18"/>
          <w:szCs w:val="18"/>
        </w:rPr>
        <w:t xml:space="preserve">désigne la date de livraison des </w:t>
      </w:r>
      <w:r w:rsidR="00630ABD">
        <w:rPr>
          <w:rFonts w:ascii="Calibri" w:hAnsi="Calibri" w:cs="Calibri"/>
          <w:sz w:val="18"/>
          <w:szCs w:val="18"/>
        </w:rPr>
        <w:t>Livrables</w:t>
      </w:r>
      <w:r w:rsidR="00630ABD" w:rsidRPr="00075D2F">
        <w:rPr>
          <w:rFonts w:ascii="Calibri" w:hAnsi="Calibri" w:cs="Calibri"/>
          <w:sz w:val="18"/>
          <w:szCs w:val="18"/>
        </w:rPr>
        <w:t xml:space="preserve"> telle que déterminée par l'INRS</w:t>
      </w:r>
      <w:r w:rsidRPr="00630ABD">
        <w:rPr>
          <w:rFonts w:ascii="Calibri" w:hAnsi="Calibri" w:cs="Calibri"/>
          <w:sz w:val="18"/>
          <w:szCs w:val="18"/>
        </w:rPr>
        <w:t>.</w:t>
      </w:r>
    </w:p>
    <w:p w14:paraId="0707A9D8" w14:textId="3E34F630" w:rsidR="000D3F71" w:rsidRPr="00630ABD" w:rsidRDefault="00047C44" w:rsidP="009E0049">
      <w:pPr>
        <w:numPr>
          <w:ilvl w:val="1"/>
          <w:numId w:val="1"/>
        </w:numPr>
        <w:tabs>
          <w:tab w:val="clear" w:pos="1440"/>
        </w:tabs>
        <w:spacing w:after="0"/>
        <w:ind w:left="709" w:hanging="283"/>
        <w:jc w:val="both"/>
        <w:rPr>
          <w:rFonts w:ascii="Calibri" w:hAnsi="Calibri" w:cs="Calibri"/>
          <w:sz w:val="18"/>
          <w:szCs w:val="18"/>
        </w:rPr>
      </w:pPr>
      <w:r w:rsidRPr="00630ABD">
        <w:rPr>
          <w:rFonts w:ascii="Calibri" w:hAnsi="Calibri" w:cs="Calibri"/>
          <w:sz w:val="18"/>
          <w:szCs w:val="18"/>
        </w:rPr>
        <w:t>“</w:t>
      </w:r>
      <w:r w:rsidR="00630ABD" w:rsidRPr="00630ABD">
        <w:rPr>
          <w:rFonts w:ascii="Calibri" w:hAnsi="Calibri" w:cs="Calibri"/>
          <w:sz w:val="18"/>
          <w:szCs w:val="18"/>
        </w:rPr>
        <w:t>Droit de propriété intellectuelle</w:t>
      </w:r>
      <w:r w:rsidRPr="00630ABD">
        <w:rPr>
          <w:rFonts w:ascii="Calibri" w:hAnsi="Calibri" w:cs="Calibri"/>
          <w:sz w:val="18"/>
          <w:szCs w:val="18"/>
        </w:rPr>
        <w:t xml:space="preserve">” </w:t>
      </w:r>
      <w:r w:rsidR="00630ABD" w:rsidRPr="00075D2F">
        <w:rPr>
          <w:rFonts w:ascii="Calibri" w:hAnsi="Calibri" w:cs="Calibri"/>
          <w:sz w:val="18"/>
          <w:szCs w:val="18"/>
        </w:rPr>
        <w:t>désigne tous les droits de propriété intellectuelle et industrielle et les droits de nature similaire, y compris tous les droits sur les brevets, y compris tous les brevets délivrés et les demandes en instance, ainsi que les brevets qui peuvent en être délivrés (y compris les divisions, les réémissions, les réexamens, les continuations et les continuations en partie) ; les marques de commerce ; les droits d'auteur ; les droits relatifs aux dessins et modèles industriels ; les droits relatifs aux secrets commerciaux et aux renseignements confidentiels ; les droits de publicité ; les droits de la personnalité ; les droits moraux ; et les autres droits de propriété intellectuelle, qu'ils soient enregistrés ou non, et toutes les demandes, enregistrements, renouvellements et extensions relatifs à ce qui précède</w:t>
      </w:r>
      <w:r w:rsidRPr="00630ABD">
        <w:rPr>
          <w:rFonts w:ascii="Calibri" w:hAnsi="Calibri" w:cs="Calibri"/>
          <w:sz w:val="18"/>
          <w:szCs w:val="18"/>
        </w:rPr>
        <w:t>.</w:t>
      </w:r>
    </w:p>
    <w:p w14:paraId="797D2FE6" w14:textId="32FCF56F" w:rsidR="000D3F71" w:rsidRPr="009978EB" w:rsidRDefault="005F6AF7" w:rsidP="009E0049">
      <w:pPr>
        <w:numPr>
          <w:ilvl w:val="1"/>
          <w:numId w:val="1"/>
        </w:numPr>
        <w:tabs>
          <w:tab w:val="clear" w:pos="1440"/>
        </w:tabs>
        <w:spacing w:after="0"/>
        <w:ind w:left="709" w:hanging="283"/>
        <w:jc w:val="both"/>
        <w:rPr>
          <w:rFonts w:ascii="Calibri" w:hAnsi="Calibri" w:cs="Calibri"/>
          <w:sz w:val="18"/>
          <w:szCs w:val="18"/>
        </w:rPr>
      </w:pPr>
      <w:r w:rsidRPr="009978EB">
        <w:rPr>
          <w:rFonts w:ascii="Calibri" w:hAnsi="Calibri" w:cs="Calibri"/>
          <w:sz w:val="18"/>
          <w:szCs w:val="18"/>
        </w:rPr>
        <w:t>“</w:t>
      </w:r>
      <w:r w:rsidR="00E13490">
        <w:rPr>
          <w:rFonts w:ascii="Calibri" w:hAnsi="Calibri" w:cs="Calibri"/>
          <w:sz w:val="18"/>
          <w:szCs w:val="18"/>
        </w:rPr>
        <w:t>Site</w:t>
      </w:r>
      <w:r w:rsidRPr="009978EB">
        <w:rPr>
          <w:rFonts w:ascii="Calibri" w:hAnsi="Calibri" w:cs="Calibri"/>
          <w:sz w:val="18"/>
          <w:szCs w:val="18"/>
        </w:rPr>
        <w:t xml:space="preserve">”: </w:t>
      </w:r>
      <w:r w:rsidR="009978EB" w:rsidRPr="00075D2F">
        <w:rPr>
          <w:rFonts w:ascii="Calibri" w:hAnsi="Calibri" w:cs="Calibri"/>
          <w:sz w:val="18"/>
          <w:szCs w:val="18"/>
        </w:rPr>
        <w:t>s'entend du laboratoire suivant de l'INRS situé à l'adresse suivante :</w:t>
      </w:r>
      <w:r w:rsidR="000B239F" w:rsidRPr="009978EB">
        <w:rPr>
          <w:rFonts w:ascii="Calibri" w:hAnsi="Calibri" w:cs="Calibri"/>
          <w:sz w:val="18"/>
          <w:szCs w:val="18"/>
        </w:rPr>
        <w:t xml:space="preserve"> </w:t>
      </w:r>
      <w:sdt>
        <w:sdtPr>
          <w:rPr>
            <w:rFonts w:ascii="Calibri" w:hAnsi="Calibri" w:cs="Calibri"/>
            <w:sz w:val="18"/>
            <w:szCs w:val="18"/>
            <w:lang w:val="en-CA"/>
          </w:rPr>
          <w:id w:val="-470670304"/>
          <w:placeholder>
            <w:docPart w:val="DefaultPlaceholder_-1854013440"/>
          </w:placeholder>
          <w:showingPlcHdr/>
        </w:sdtPr>
        <w:sdtContent>
          <w:r w:rsidR="000B239F" w:rsidRPr="00075D2F">
            <w:rPr>
              <w:rStyle w:val="PlaceholderText"/>
              <w:rFonts w:ascii="Calibri" w:hAnsi="Calibri" w:cs="Calibri"/>
              <w:sz w:val="18"/>
              <w:szCs w:val="18"/>
            </w:rPr>
            <w:t>Cliquez ou appuyez ici pour entrer du texte.</w:t>
          </w:r>
        </w:sdtContent>
      </w:sdt>
      <w:r w:rsidR="000B239F" w:rsidRPr="009978EB">
        <w:rPr>
          <w:rFonts w:ascii="Calibri" w:hAnsi="Calibri" w:cs="Calibri"/>
          <w:sz w:val="18"/>
          <w:szCs w:val="18"/>
        </w:rPr>
        <w:t>.</w:t>
      </w:r>
    </w:p>
    <w:p w14:paraId="45B4B6EE" w14:textId="5F517C1D" w:rsidR="000D3F71" w:rsidRPr="009978EB" w:rsidRDefault="00047C44" w:rsidP="009E0049">
      <w:pPr>
        <w:numPr>
          <w:ilvl w:val="1"/>
          <w:numId w:val="1"/>
        </w:numPr>
        <w:tabs>
          <w:tab w:val="clear" w:pos="1440"/>
        </w:tabs>
        <w:spacing w:after="0"/>
        <w:ind w:left="709" w:hanging="283"/>
        <w:jc w:val="both"/>
        <w:rPr>
          <w:rFonts w:ascii="Calibri" w:hAnsi="Calibri" w:cs="Calibri"/>
          <w:sz w:val="18"/>
          <w:szCs w:val="18"/>
        </w:rPr>
      </w:pPr>
      <w:r w:rsidRPr="009978EB">
        <w:rPr>
          <w:rFonts w:ascii="Calibri" w:hAnsi="Calibri" w:cs="Calibri"/>
          <w:sz w:val="18"/>
          <w:szCs w:val="18"/>
        </w:rPr>
        <w:t>“</w:t>
      </w:r>
      <w:r w:rsidR="009978EB" w:rsidRPr="009978EB">
        <w:rPr>
          <w:rFonts w:ascii="Calibri" w:hAnsi="Calibri" w:cs="Calibri"/>
          <w:sz w:val="18"/>
          <w:szCs w:val="18"/>
        </w:rPr>
        <w:t>Services/Analyses</w:t>
      </w:r>
      <w:r w:rsidRPr="009978EB">
        <w:rPr>
          <w:rFonts w:ascii="Calibri" w:hAnsi="Calibri" w:cs="Calibri"/>
          <w:sz w:val="18"/>
          <w:szCs w:val="18"/>
        </w:rPr>
        <w:t xml:space="preserve">” </w:t>
      </w:r>
      <w:r w:rsidR="009978EB" w:rsidRPr="00075D2F">
        <w:rPr>
          <w:rFonts w:ascii="Calibri" w:hAnsi="Calibri" w:cs="Calibri"/>
          <w:sz w:val="18"/>
          <w:szCs w:val="18"/>
        </w:rPr>
        <w:t xml:space="preserve">désigne tous les services et/ou analyses qui seront fournis par l'INRS au </w:t>
      </w:r>
      <w:r w:rsidR="00EE66D8">
        <w:rPr>
          <w:rFonts w:ascii="Calibri" w:hAnsi="Calibri" w:cs="Calibri"/>
          <w:sz w:val="18"/>
          <w:szCs w:val="18"/>
        </w:rPr>
        <w:t>C</w:t>
      </w:r>
      <w:r w:rsidR="009978EB" w:rsidRPr="00075D2F">
        <w:rPr>
          <w:rFonts w:ascii="Calibri" w:hAnsi="Calibri" w:cs="Calibri"/>
          <w:sz w:val="18"/>
          <w:szCs w:val="18"/>
        </w:rPr>
        <w:t>lient</w:t>
      </w:r>
      <w:r w:rsidRPr="009978EB">
        <w:rPr>
          <w:rFonts w:ascii="Calibri" w:hAnsi="Calibri" w:cs="Calibri"/>
          <w:sz w:val="18"/>
          <w:szCs w:val="18"/>
        </w:rPr>
        <w:t>.</w:t>
      </w:r>
    </w:p>
    <w:p w14:paraId="1CAF2E9F" w14:textId="6F042940" w:rsidR="00047C44" w:rsidRPr="009B58FC" w:rsidRDefault="00047C44" w:rsidP="009E0049">
      <w:pPr>
        <w:numPr>
          <w:ilvl w:val="1"/>
          <w:numId w:val="1"/>
        </w:numPr>
        <w:tabs>
          <w:tab w:val="clear" w:pos="1440"/>
        </w:tabs>
        <w:spacing w:after="0"/>
        <w:ind w:left="709" w:hanging="283"/>
        <w:jc w:val="both"/>
        <w:rPr>
          <w:rFonts w:ascii="Calibri" w:hAnsi="Calibri" w:cs="Calibri"/>
          <w:sz w:val="18"/>
          <w:szCs w:val="18"/>
        </w:rPr>
      </w:pPr>
      <w:r w:rsidRPr="009B58FC">
        <w:rPr>
          <w:rFonts w:ascii="Calibri" w:hAnsi="Calibri" w:cs="Calibri"/>
          <w:sz w:val="18"/>
          <w:szCs w:val="18"/>
        </w:rPr>
        <w:t>“</w:t>
      </w:r>
      <w:r w:rsidR="00EE66D8" w:rsidRPr="009B58FC">
        <w:rPr>
          <w:rFonts w:ascii="Calibri" w:hAnsi="Calibri" w:cs="Calibri"/>
          <w:sz w:val="18"/>
          <w:szCs w:val="18"/>
        </w:rPr>
        <w:t>Spécifications</w:t>
      </w:r>
      <w:r w:rsidRPr="009B58FC">
        <w:rPr>
          <w:rFonts w:ascii="Calibri" w:hAnsi="Calibri" w:cs="Calibri"/>
          <w:sz w:val="18"/>
          <w:szCs w:val="18"/>
        </w:rPr>
        <w:t xml:space="preserve">” </w:t>
      </w:r>
      <w:r w:rsidR="009B58FC" w:rsidRPr="00075D2F">
        <w:rPr>
          <w:rFonts w:ascii="Calibri" w:hAnsi="Calibri" w:cs="Calibri"/>
          <w:sz w:val="18"/>
          <w:szCs w:val="18"/>
        </w:rPr>
        <w:t xml:space="preserve">désigne les exigences, les caractéristiques et les spécifications pour les </w:t>
      </w:r>
      <w:r w:rsidR="000A6369">
        <w:rPr>
          <w:rFonts w:ascii="Calibri" w:hAnsi="Calibri" w:cs="Calibri"/>
          <w:sz w:val="18"/>
          <w:szCs w:val="18"/>
        </w:rPr>
        <w:t>S</w:t>
      </w:r>
      <w:r w:rsidR="009B58FC" w:rsidRPr="00075D2F">
        <w:rPr>
          <w:rFonts w:ascii="Calibri" w:hAnsi="Calibri" w:cs="Calibri"/>
          <w:sz w:val="18"/>
          <w:szCs w:val="18"/>
        </w:rPr>
        <w:t>ervices/</w:t>
      </w:r>
      <w:r w:rsidR="000A6369">
        <w:rPr>
          <w:rFonts w:ascii="Calibri" w:hAnsi="Calibri" w:cs="Calibri"/>
          <w:sz w:val="18"/>
          <w:szCs w:val="18"/>
        </w:rPr>
        <w:t xml:space="preserve"> A</w:t>
      </w:r>
      <w:r w:rsidR="009B58FC" w:rsidRPr="00075D2F">
        <w:rPr>
          <w:rFonts w:ascii="Calibri" w:hAnsi="Calibri" w:cs="Calibri"/>
          <w:sz w:val="18"/>
          <w:szCs w:val="18"/>
        </w:rPr>
        <w:t>nalyse</w:t>
      </w:r>
      <w:r w:rsidR="000A6369">
        <w:rPr>
          <w:rFonts w:ascii="Calibri" w:hAnsi="Calibri" w:cs="Calibri"/>
          <w:sz w:val="18"/>
          <w:szCs w:val="18"/>
        </w:rPr>
        <w:t>s</w:t>
      </w:r>
      <w:r w:rsidR="009B58FC" w:rsidRPr="00075D2F">
        <w:rPr>
          <w:rFonts w:ascii="Calibri" w:hAnsi="Calibri" w:cs="Calibri"/>
          <w:sz w:val="18"/>
          <w:szCs w:val="18"/>
        </w:rPr>
        <w:t xml:space="preserve">. Les spécifications comprennent également, le cas échéant : (a) la documentation publiée par l'INRS relative aux Services/Analyses ; b) les normes ou les niveaux de service pour les </w:t>
      </w:r>
      <w:r w:rsidR="000A6369">
        <w:rPr>
          <w:rFonts w:ascii="Calibri" w:hAnsi="Calibri" w:cs="Calibri"/>
          <w:sz w:val="18"/>
          <w:szCs w:val="18"/>
        </w:rPr>
        <w:t>Services/Analyses</w:t>
      </w:r>
      <w:r w:rsidRPr="009B58FC">
        <w:rPr>
          <w:rFonts w:ascii="Calibri" w:hAnsi="Calibri" w:cs="Calibri"/>
          <w:sz w:val="18"/>
          <w:szCs w:val="18"/>
        </w:rPr>
        <w:t>.</w:t>
      </w:r>
    </w:p>
    <w:p w14:paraId="663F7FBD" w14:textId="7E1DF843" w:rsidR="00047C44" w:rsidRPr="003F5C23" w:rsidRDefault="00D82516" w:rsidP="003522DC">
      <w:pPr>
        <w:numPr>
          <w:ilvl w:val="0"/>
          <w:numId w:val="1"/>
        </w:numPr>
        <w:tabs>
          <w:tab w:val="clear" w:pos="720"/>
          <w:tab w:val="num" w:pos="426"/>
          <w:tab w:val="num" w:pos="1440"/>
        </w:tabs>
        <w:spacing w:after="0"/>
        <w:ind w:left="426" w:hanging="426"/>
        <w:jc w:val="both"/>
        <w:rPr>
          <w:rFonts w:ascii="Calibri" w:hAnsi="Calibri" w:cs="Calibri"/>
          <w:sz w:val="18"/>
          <w:szCs w:val="18"/>
        </w:rPr>
      </w:pPr>
      <w:r w:rsidRPr="00D82516">
        <w:rPr>
          <w:rFonts w:ascii="Calibri" w:hAnsi="Calibri" w:cs="Calibri"/>
          <w:b/>
          <w:bCs/>
          <w:sz w:val="18"/>
          <w:szCs w:val="18"/>
        </w:rPr>
        <w:t>Prestation et performance des Services/Analyses</w:t>
      </w:r>
      <w:r w:rsidR="00047C44" w:rsidRPr="00D82516">
        <w:rPr>
          <w:rFonts w:ascii="Calibri" w:hAnsi="Calibri" w:cs="Calibri"/>
          <w:sz w:val="18"/>
          <w:szCs w:val="18"/>
        </w:rPr>
        <w:t>.</w:t>
      </w:r>
      <w:r w:rsidR="001C3272" w:rsidRPr="00D82516">
        <w:rPr>
          <w:rFonts w:ascii="Calibri" w:hAnsi="Calibri" w:cs="Calibri"/>
          <w:sz w:val="18"/>
          <w:szCs w:val="18"/>
        </w:rPr>
        <w:t xml:space="preserve"> </w:t>
      </w:r>
      <w:r w:rsidR="003F5C23" w:rsidRPr="00075D2F">
        <w:rPr>
          <w:rFonts w:ascii="Calibri" w:hAnsi="Calibri" w:cs="Calibri"/>
          <w:sz w:val="18"/>
          <w:szCs w:val="18"/>
        </w:rPr>
        <w:t xml:space="preserve">(a) L'INRS accepte de fournir et d'effectuer les Services/Analyses, le cas échéant, selon les modalités énoncées dans le présent Contrat. (b) L'INRS effectuera tous les Services/Analyses en exerçant le degré de professionnalisme, de compétence, de diligence, de soin, de prudence, de jugement et d'intégrité auquel on pourrait raisonnablement s'attendre de la part d'un </w:t>
      </w:r>
      <w:r w:rsidR="003F5C23" w:rsidRPr="00075D2F">
        <w:rPr>
          <w:rFonts w:ascii="Calibri" w:hAnsi="Calibri" w:cs="Calibri"/>
          <w:sz w:val="18"/>
          <w:szCs w:val="18"/>
        </w:rPr>
        <w:t xml:space="preserve">fournisseur de services qualifié et expérimenté fournissant des services dans des circonstances identiques ou similaires à celles des Services/Analyses en vertu </w:t>
      </w:r>
      <w:r w:rsidR="003F5C23">
        <w:rPr>
          <w:rFonts w:ascii="Calibri" w:hAnsi="Calibri" w:cs="Calibri"/>
          <w:sz w:val="18"/>
          <w:szCs w:val="18"/>
        </w:rPr>
        <w:t>du présent Contrat</w:t>
      </w:r>
      <w:r w:rsidR="003F5C23" w:rsidRPr="00075D2F">
        <w:rPr>
          <w:rFonts w:ascii="Calibri" w:hAnsi="Calibri" w:cs="Calibri"/>
          <w:sz w:val="18"/>
          <w:szCs w:val="18"/>
        </w:rPr>
        <w:t xml:space="preserve">, en utilisant uniquement du personnel ayant les compétences, la formation, l'expertise et les qualifications nécessaires pour effectuer les Services/Analyses. (c) Le Client reconnaît et accepte que, dans la mesure permise par la loi applicable, nonobstant toute autre déclaration </w:t>
      </w:r>
      <w:r w:rsidR="00E0468E">
        <w:rPr>
          <w:rFonts w:ascii="Calibri" w:hAnsi="Calibri" w:cs="Calibri"/>
          <w:sz w:val="18"/>
          <w:szCs w:val="18"/>
        </w:rPr>
        <w:t>au présent Contrat</w:t>
      </w:r>
      <w:r w:rsidR="003F5C23" w:rsidRPr="00075D2F">
        <w:rPr>
          <w:rFonts w:ascii="Calibri" w:hAnsi="Calibri" w:cs="Calibri"/>
          <w:sz w:val="18"/>
          <w:szCs w:val="18"/>
        </w:rPr>
        <w:t xml:space="preserve"> ou dans toute licence dérivée de celui-ci : (i) INRS n'a aucune obligation de résultat en relation avec les Services / Analyse</w:t>
      </w:r>
      <w:r w:rsidR="00E0468E">
        <w:rPr>
          <w:rFonts w:ascii="Calibri" w:hAnsi="Calibri" w:cs="Calibri"/>
          <w:sz w:val="18"/>
          <w:szCs w:val="18"/>
        </w:rPr>
        <w:t>s</w:t>
      </w:r>
      <w:r w:rsidR="003F5C23" w:rsidRPr="00075D2F">
        <w:rPr>
          <w:rFonts w:ascii="Calibri" w:hAnsi="Calibri" w:cs="Calibri"/>
          <w:sz w:val="18"/>
          <w:szCs w:val="18"/>
        </w:rPr>
        <w:t xml:space="preserve"> ; (ii) L'INRS ne fait aucune déclaration ou garantie d'aucune sorte, légale, contractuelle ou autre, y compris, sans s'y limiter, toute garantie d'adéquation à un usage particulier, en ce qui concerne </w:t>
      </w:r>
      <w:r w:rsidR="00D83842">
        <w:rPr>
          <w:rFonts w:ascii="Calibri" w:hAnsi="Calibri" w:cs="Calibri"/>
          <w:sz w:val="18"/>
          <w:szCs w:val="18"/>
        </w:rPr>
        <w:t>les Livrables</w:t>
      </w:r>
      <w:r w:rsidR="003F5C23" w:rsidRPr="00075D2F">
        <w:rPr>
          <w:rFonts w:ascii="Calibri" w:hAnsi="Calibri" w:cs="Calibri"/>
          <w:sz w:val="18"/>
          <w:szCs w:val="18"/>
        </w:rPr>
        <w:t>. (d) En ce qui concerne les Services/Analyses susmentionnés, l'INRS ne sera pas responsable de toute perte de revenus, de profits ou de données, ni de toute diminution de valeur, ni de tout dommage consécutif ou accessoire, indirect, exemplaire, spécial ou punitif</w:t>
      </w:r>
      <w:r w:rsidR="00D550E3" w:rsidRPr="003F5C23">
        <w:rPr>
          <w:rFonts w:ascii="Calibri" w:hAnsi="Calibri" w:cs="Calibri"/>
          <w:sz w:val="18"/>
          <w:szCs w:val="18"/>
        </w:rPr>
        <w:t>.</w:t>
      </w:r>
    </w:p>
    <w:p w14:paraId="46C89794" w14:textId="5A0B15A1" w:rsidR="003A382A" w:rsidRPr="00D83842" w:rsidRDefault="00627681" w:rsidP="009E0049">
      <w:pPr>
        <w:numPr>
          <w:ilvl w:val="0"/>
          <w:numId w:val="1"/>
        </w:numPr>
        <w:tabs>
          <w:tab w:val="clear" w:pos="720"/>
          <w:tab w:val="num" w:pos="426"/>
        </w:tabs>
        <w:spacing w:after="0"/>
        <w:ind w:left="426" w:hanging="426"/>
        <w:jc w:val="both"/>
        <w:rPr>
          <w:rFonts w:ascii="Calibri" w:hAnsi="Calibri" w:cs="Calibri"/>
          <w:sz w:val="18"/>
          <w:szCs w:val="18"/>
        </w:rPr>
      </w:pPr>
      <w:r w:rsidRPr="00111D04">
        <w:rPr>
          <w:rFonts w:ascii="Calibri" w:hAnsi="Calibri" w:cs="Calibri"/>
          <w:b/>
          <w:bCs/>
          <w:sz w:val="18"/>
          <w:szCs w:val="18"/>
        </w:rPr>
        <w:t xml:space="preserve">Force Majeure. </w:t>
      </w:r>
      <w:r w:rsidR="00D83842" w:rsidRPr="00075D2F">
        <w:rPr>
          <w:rFonts w:ascii="Calibri" w:hAnsi="Calibri" w:cs="Calibri"/>
          <w:sz w:val="18"/>
          <w:szCs w:val="18"/>
        </w:rPr>
        <w:t xml:space="preserve">L'INRS n'est pas responsable des pertes ou dommages subis par </w:t>
      </w:r>
      <w:r w:rsidR="0085711F">
        <w:rPr>
          <w:rFonts w:ascii="Calibri" w:hAnsi="Calibri" w:cs="Calibri"/>
          <w:sz w:val="18"/>
          <w:szCs w:val="18"/>
        </w:rPr>
        <w:t>le Client</w:t>
      </w:r>
      <w:r w:rsidR="00D83842" w:rsidRPr="00075D2F">
        <w:rPr>
          <w:rFonts w:ascii="Calibri" w:hAnsi="Calibri" w:cs="Calibri"/>
          <w:sz w:val="18"/>
          <w:szCs w:val="18"/>
        </w:rPr>
        <w:t xml:space="preserve"> résultant d'un retard dans l'exécution de toute obligation contractée </w:t>
      </w:r>
      <w:r w:rsidR="005D0B44">
        <w:rPr>
          <w:rFonts w:ascii="Calibri" w:hAnsi="Calibri" w:cs="Calibri"/>
          <w:sz w:val="18"/>
          <w:szCs w:val="18"/>
        </w:rPr>
        <w:t>aux présentes</w:t>
      </w:r>
      <w:r w:rsidR="00D83842" w:rsidRPr="00075D2F">
        <w:rPr>
          <w:rFonts w:ascii="Calibri" w:hAnsi="Calibri" w:cs="Calibri"/>
          <w:sz w:val="18"/>
          <w:szCs w:val="18"/>
        </w:rPr>
        <w:t xml:space="preserve"> ou d'un défaut d'exécution lorsque ce retard ou manquement résulte d'un événement imprévisible et irrésistible, y compris toute perte causée par un « cas de Force majeure », par des catastrophes naturelles,  les épidémies, les pandémies, les actions gouvernementales, les directives, les ordres et les décrets, les incendies, les guerres, les insurrections, les émeutes, le terrorisme, les arrêts ou les ralentissements spontanés du travail, les lock-out, les pannes ou interruptions de courant électrique, les cyberattaques ou les perturbations des télécommunications</w:t>
      </w:r>
      <w:r w:rsidR="003A382A" w:rsidRPr="00D83842">
        <w:rPr>
          <w:rFonts w:ascii="Calibri" w:hAnsi="Calibri" w:cs="Calibri"/>
          <w:sz w:val="18"/>
          <w:szCs w:val="18"/>
        </w:rPr>
        <w:t>.</w:t>
      </w:r>
    </w:p>
    <w:p w14:paraId="17D0A46D" w14:textId="4588F18F" w:rsidR="00047C44" w:rsidRPr="00793315" w:rsidRDefault="000329A4" w:rsidP="009E0049">
      <w:pPr>
        <w:numPr>
          <w:ilvl w:val="0"/>
          <w:numId w:val="1"/>
        </w:numPr>
        <w:tabs>
          <w:tab w:val="clear" w:pos="720"/>
          <w:tab w:val="num" w:pos="426"/>
        </w:tabs>
        <w:spacing w:after="0"/>
        <w:ind w:left="426" w:hanging="426"/>
        <w:jc w:val="both"/>
        <w:rPr>
          <w:rFonts w:ascii="Calibri" w:hAnsi="Calibri" w:cs="Calibri"/>
          <w:sz w:val="18"/>
          <w:szCs w:val="18"/>
        </w:rPr>
      </w:pPr>
      <w:r w:rsidRPr="00075D2F">
        <w:rPr>
          <w:rFonts w:ascii="Calibri" w:hAnsi="Calibri" w:cs="Calibri"/>
          <w:b/>
          <w:bCs/>
          <w:sz w:val="18"/>
          <w:szCs w:val="18"/>
        </w:rPr>
        <w:t>Conditions de prix / paiement</w:t>
      </w:r>
      <w:r w:rsidR="00047C44" w:rsidRPr="00793315">
        <w:rPr>
          <w:rFonts w:ascii="Calibri" w:hAnsi="Calibri" w:cs="Calibri"/>
          <w:sz w:val="18"/>
          <w:szCs w:val="18"/>
        </w:rPr>
        <w:t xml:space="preserve">. </w:t>
      </w:r>
      <w:r w:rsidR="00793315" w:rsidRPr="00075D2F">
        <w:rPr>
          <w:rFonts w:ascii="Calibri" w:hAnsi="Calibri" w:cs="Calibri"/>
          <w:sz w:val="18"/>
          <w:szCs w:val="18"/>
        </w:rPr>
        <w:t xml:space="preserve">Les prix des </w:t>
      </w:r>
      <w:r w:rsidR="00793315">
        <w:rPr>
          <w:rFonts w:ascii="Calibri" w:hAnsi="Calibri" w:cs="Calibri"/>
          <w:sz w:val="18"/>
          <w:szCs w:val="18"/>
        </w:rPr>
        <w:t>S</w:t>
      </w:r>
      <w:r w:rsidR="00793315" w:rsidRPr="00075D2F">
        <w:rPr>
          <w:rFonts w:ascii="Calibri" w:hAnsi="Calibri" w:cs="Calibri"/>
          <w:sz w:val="18"/>
          <w:szCs w:val="18"/>
        </w:rPr>
        <w:t>ervices</w:t>
      </w:r>
      <w:r w:rsidR="00793315">
        <w:rPr>
          <w:rFonts w:ascii="Calibri" w:hAnsi="Calibri" w:cs="Calibri"/>
          <w:sz w:val="18"/>
          <w:szCs w:val="18"/>
        </w:rPr>
        <w:t xml:space="preserve">/Analyses </w:t>
      </w:r>
      <w:r w:rsidR="00793315" w:rsidRPr="00075D2F">
        <w:rPr>
          <w:rFonts w:ascii="Calibri" w:hAnsi="Calibri" w:cs="Calibri"/>
          <w:sz w:val="18"/>
          <w:szCs w:val="18"/>
        </w:rPr>
        <w:t xml:space="preserve">sont tels qu'ils sont indiqués et affichés sur le site Web de la </w:t>
      </w:r>
      <w:r w:rsidR="00793315">
        <w:rPr>
          <w:rFonts w:ascii="Calibri" w:hAnsi="Calibri" w:cs="Calibri"/>
          <w:sz w:val="18"/>
          <w:szCs w:val="18"/>
        </w:rPr>
        <w:t>P</w:t>
      </w:r>
      <w:r w:rsidR="00793315" w:rsidRPr="00075D2F">
        <w:rPr>
          <w:rFonts w:ascii="Calibri" w:hAnsi="Calibri" w:cs="Calibri"/>
          <w:sz w:val="18"/>
          <w:szCs w:val="18"/>
        </w:rPr>
        <w:t xml:space="preserve">lateforme IMCM.  Le </w:t>
      </w:r>
      <w:r w:rsidR="00793315">
        <w:rPr>
          <w:rFonts w:ascii="Calibri" w:hAnsi="Calibri" w:cs="Calibri"/>
          <w:sz w:val="18"/>
          <w:szCs w:val="18"/>
        </w:rPr>
        <w:t>C</w:t>
      </w:r>
      <w:r w:rsidR="00793315" w:rsidRPr="00075D2F">
        <w:rPr>
          <w:rFonts w:ascii="Calibri" w:hAnsi="Calibri" w:cs="Calibri"/>
          <w:sz w:val="18"/>
          <w:szCs w:val="18"/>
        </w:rPr>
        <w:t>lient sera facturé sur une base trimestrielle. Le paiement est dû à la réception de la facture</w:t>
      </w:r>
      <w:r w:rsidR="00A37370" w:rsidRPr="00793315">
        <w:rPr>
          <w:rFonts w:ascii="Calibri" w:hAnsi="Calibri" w:cs="Calibri"/>
          <w:sz w:val="18"/>
          <w:szCs w:val="18"/>
        </w:rPr>
        <w:t>.</w:t>
      </w:r>
      <w:r w:rsidR="001B0B9C" w:rsidRPr="00793315">
        <w:rPr>
          <w:rFonts w:ascii="Calibri" w:hAnsi="Calibri" w:cs="Calibri"/>
          <w:sz w:val="18"/>
          <w:szCs w:val="18"/>
        </w:rPr>
        <w:t xml:space="preserve"> </w:t>
      </w:r>
    </w:p>
    <w:p w14:paraId="5FED047F" w14:textId="151A83CF" w:rsidR="00047C44" w:rsidRPr="00793315" w:rsidRDefault="00793315" w:rsidP="009E0049">
      <w:pPr>
        <w:numPr>
          <w:ilvl w:val="0"/>
          <w:numId w:val="1"/>
        </w:numPr>
        <w:tabs>
          <w:tab w:val="clear" w:pos="720"/>
          <w:tab w:val="num" w:pos="426"/>
        </w:tabs>
        <w:spacing w:after="0"/>
        <w:ind w:left="426" w:hanging="426"/>
        <w:jc w:val="both"/>
        <w:rPr>
          <w:rFonts w:ascii="Calibri" w:hAnsi="Calibri" w:cs="Calibri"/>
          <w:sz w:val="18"/>
          <w:szCs w:val="18"/>
        </w:rPr>
      </w:pPr>
      <w:r w:rsidRPr="00075D2F">
        <w:rPr>
          <w:rFonts w:ascii="Calibri" w:hAnsi="Calibri" w:cs="Calibri"/>
          <w:b/>
          <w:bCs/>
          <w:sz w:val="18"/>
          <w:szCs w:val="18"/>
        </w:rPr>
        <w:t>Matières dangereuses</w:t>
      </w:r>
      <w:r w:rsidR="00047C44" w:rsidRPr="00793315">
        <w:rPr>
          <w:rFonts w:ascii="Calibri" w:hAnsi="Calibri" w:cs="Calibri"/>
          <w:sz w:val="18"/>
          <w:szCs w:val="18"/>
        </w:rPr>
        <w:t xml:space="preserve">. </w:t>
      </w:r>
      <w:r w:rsidRPr="00075D2F">
        <w:rPr>
          <w:rFonts w:ascii="Calibri" w:hAnsi="Calibri" w:cs="Calibri"/>
          <w:sz w:val="18"/>
          <w:szCs w:val="18"/>
        </w:rPr>
        <w:t xml:space="preserve">Le </w:t>
      </w:r>
      <w:r>
        <w:rPr>
          <w:rFonts w:ascii="Calibri" w:hAnsi="Calibri" w:cs="Calibri"/>
          <w:sz w:val="18"/>
          <w:szCs w:val="18"/>
        </w:rPr>
        <w:t>Cl</w:t>
      </w:r>
      <w:r w:rsidRPr="00075D2F">
        <w:rPr>
          <w:rFonts w:ascii="Calibri" w:hAnsi="Calibri" w:cs="Calibri"/>
          <w:sz w:val="18"/>
          <w:szCs w:val="18"/>
        </w:rPr>
        <w:t xml:space="preserve">ient accepte de fournir, à la demande de l'INRS, pour satisfaire aux lois applicables régissant l'utilisation de toute </w:t>
      </w:r>
      <w:r>
        <w:rPr>
          <w:rFonts w:ascii="Calibri" w:hAnsi="Calibri" w:cs="Calibri"/>
          <w:sz w:val="18"/>
          <w:szCs w:val="18"/>
        </w:rPr>
        <w:t>matière</w:t>
      </w:r>
      <w:r w:rsidRPr="00075D2F">
        <w:rPr>
          <w:rFonts w:ascii="Calibri" w:hAnsi="Calibri" w:cs="Calibri"/>
          <w:sz w:val="18"/>
          <w:szCs w:val="18"/>
        </w:rPr>
        <w:t xml:space="preserve"> dangereuse, l'un ou l'autre des éléments suivants : (a) tous les documents raisonnablement nécessaires, substance par substance </w:t>
      </w:r>
      <w:r w:rsidR="005A7FA4">
        <w:rPr>
          <w:rFonts w:ascii="Calibri" w:hAnsi="Calibri" w:cs="Calibri"/>
          <w:sz w:val="18"/>
          <w:szCs w:val="18"/>
        </w:rPr>
        <w:t xml:space="preserve">de </w:t>
      </w:r>
      <w:r w:rsidRPr="00075D2F">
        <w:rPr>
          <w:rFonts w:ascii="Calibri" w:hAnsi="Calibri" w:cs="Calibri"/>
          <w:sz w:val="18"/>
          <w:szCs w:val="18"/>
        </w:rPr>
        <w:t>composition</w:t>
      </w:r>
      <w:r w:rsidR="005A7FA4">
        <w:rPr>
          <w:rFonts w:ascii="Calibri" w:hAnsi="Calibri" w:cs="Calibri"/>
          <w:sz w:val="18"/>
          <w:szCs w:val="18"/>
        </w:rPr>
        <w:t xml:space="preserve"> du matériel</w:t>
      </w:r>
      <w:r w:rsidRPr="00075D2F">
        <w:rPr>
          <w:rFonts w:ascii="Calibri" w:hAnsi="Calibri" w:cs="Calibri"/>
          <w:sz w:val="18"/>
          <w:szCs w:val="18"/>
        </w:rPr>
        <w:t xml:space="preserve">, substance par substance, y compris la quantité utilisée de chaque substance b) toute la </w:t>
      </w:r>
      <w:r w:rsidRPr="00075D2F">
        <w:rPr>
          <w:rFonts w:ascii="Calibri" w:hAnsi="Calibri" w:cs="Calibri"/>
          <w:sz w:val="18"/>
          <w:szCs w:val="18"/>
        </w:rPr>
        <w:lastRenderedPageBreak/>
        <w:t xml:space="preserve">documentation raisonnablement nécessaire pour assurer une manipulation appropriée </w:t>
      </w:r>
      <w:r w:rsidR="008211B3">
        <w:rPr>
          <w:rFonts w:ascii="Calibri" w:hAnsi="Calibri" w:cs="Calibri"/>
          <w:sz w:val="18"/>
          <w:szCs w:val="18"/>
        </w:rPr>
        <w:t>du matériel</w:t>
      </w:r>
      <w:r w:rsidRPr="00075D2F">
        <w:rPr>
          <w:rFonts w:ascii="Calibri" w:hAnsi="Calibri" w:cs="Calibri"/>
          <w:sz w:val="18"/>
          <w:szCs w:val="18"/>
        </w:rPr>
        <w:t xml:space="preserve">, échantillon et/ou substances par l'INRS dans la prestation des </w:t>
      </w:r>
      <w:r w:rsidR="008211B3">
        <w:rPr>
          <w:rFonts w:ascii="Calibri" w:hAnsi="Calibri" w:cs="Calibri"/>
          <w:sz w:val="18"/>
          <w:szCs w:val="18"/>
        </w:rPr>
        <w:t>S</w:t>
      </w:r>
      <w:r w:rsidRPr="00075D2F">
        <w:rPr>
          <w:rFonts w:ascii="Calibri" w:hAnsi="Calibri" w:cs="Calibri"/>
          <w:sz w:val="18"/>
          <w:szCs w:val="18"/>
        </w:rPr>
        <w:t>ervices/</w:t>
      </w:r>
      <w:r w:rsidR="008211B3">
        <w:rPr>
          <w:rFonts w:ascii="Calibri" w:hAnsi="Calibri" w:cs="Calibri"/>
          <w:sz w:val="18"/>
          <w:szCs w:val="18"/>
        </w:rPr>
        <w:t>A</w:t>
      </w:r>
      <w:r w:rsidRPr="00075D2F">
        <w:rPr>
          <w:rFonts w:ascii="Calibri" w:hAnsi="Calibri" w:cs="Calibri"/>
          <w:sz w:val="18"/>
          <w:szCs w:val="18"/>
        </w:rPr>
        <w:t>nalyse</w:t>
      </w:r>
      <w:r w:rsidR="008211B3">
        <w:rPr>
          <w:rFonts w:ascii="Calibri" w:hAnsi="Calibri" w:cs="Calibri"/>
          <w:sz w:val="18"/>
          <w:szCs w:val="18"/>
        </w:rPr>
        <w:t>s</w:t>
      </w:r>
      <w:r w:rsidR="00047C44" w:rsidRPr="00793315">
        <w:rPr>
          <w:rFonts w:ascii="Calibri" w:hAnsi="Calibri" w:cs="Calibri"/>
          <w:sz w:val="18"/>
          <w:szCs w:val="18"/>
        </w:rPr>
        <w:t>.</w:t>
      </w:r>
    </w:p>
    <w:p w14:paraId="711A0342" w14:textId="55C87981" w:rsidR="00E13490" w:rsidRDefault="00050812" w:rsidP="00E13490">
      <w:pPr>
        <w:numPr>
          <w:ilvl w:val="0"/>
          <w:numId w:val="1"/>
        </w:numPr>
        <w:tabs>
          <w:tab w:val="clear" w:pos="720"/>
          <w:tab w:val="num" w:pos="426"/>
        </w:tabs>
        <w:spacing w:after="0"/>
        <w:ind w:left="426" w:hanging="426"/>
        <w:jc w:val="both"/>
        <w:rPr>
          <w:rFonts w:ascii="Calibri" w:hAnsi="Calibri" w:cs="Calibri"/>
          <w:sz w:val="18"/>
          <w:szCs w:val="18"/>
        </w:rPr>
      </w:pPr>
      <w:r w:rsidRPr="00075D2F">
        <w:rPr>
          <w:rFonts w:ascii="Calibri" w:hAnsi="Calibri" w:cs="Calibri"/>
          <w:b/>
          <w:bCs/>
          <w:sz w:val="18"/>
          <w:szCs w:val="18"/>
        </w:rPr>
        <w:t>Conformité légale ; Sécurité au travail</w:t>
      </w:r>
      <w:r w:rsidRPr="00075D2F">
        <w:rPr>
          <w:rFonts w:ascii="Calibri" w:hAnsi="Calibri" w:cs="Calibri"/>
          <w:sz w:val="18"/>
          <w:szCs w:val="18"/>
        </w:rPr>
        <w:t xml:space="preserve">. Dans l'exécution de ses obligations en vertu </w:t>
      </w:r>
      <w:r w:rsidR="0069753E">
        <w:rPr>
          <w:rFonts w:ascii="Calibri" w:hAnsi="Calibri" w:cs="Calibri"/>
          <w:sz w:val="18"/>
          <w:szCs w:val="18"/>
        </w:rPr>
        <w:t>du Contrat</w:t>
      </w:r>
      <w:r w:rsidRPr="00075D2F">
        <w:rPr>
          <w:rFonts w:ascii="Calibri" w:hAnsi="Calibri" w:cs="Calibri"/>
          <w:sz w:val="18"/>
          <w:szCs w:val="18"/>
        </w:rPr>
        <w:t>, y compris l'exécution des Services/Analyses, I</w:t>
      </w:r>
      <w:r w:rsidR="001B0D15">
        <w:rPr>
          <w:rFonts w:ascii="Calibri" w:hAnsi="Calibri" w:cs="Calibri"/>
          <w:sz w:val="18"/>
          <w:szCs w:val="18"/>
        </w:rPr>
        <w:t>’</w:t>
      </w:r>
      <w:r w:rsidRPr="00075D2F">
        <w:rPr>
          <w:rFonts w:ascii="Calibri" w:hAnsi="Calibri" w:cs="Calibri"/>
          <w:sz w:val="18"/>
          <w:szCs w:val="18"/>
        </w:rPr>
        <w:t>NRS doit se conformer à toutes les lois, réglementations, normes et codes applicables</w:t>
      </w:r>
      <w:r w:rsidR="00047C44" w:rsidRPr="0069753E">
        <w:rPr>
          <w:rFonts w:ascii="Calibri" w:hAnsi="Calibri" w:cs="Calibri"/>
          <w:sz w:val="18"/>
          <w:szCs w:val="18"/>
        </w:rPr>
        <w:t>.</w:t>
      </w:r>
    </w:p>
    <w:p w14:paraId="0ED96A87" w14:textId="353F56DE" w:rsidR="00047C44" w:rsidRPr="00E13490" w:rsidRDefault="0069753E" w:rsidP="00E13490">
      <w:pPr>
        <w:numPr>
          <w:ilvl w:val="0"/>
          <w:numId w:val="1"/>
        </w:numPr>
        <w:tabs>
          <w:tab w:val="clear" w:pos="720"/>
          <w:tab w:val="num" w:pos="426"/>
        </w:tabs>
        <w:spacing w:after="0"/>
        <w:ind w:left="426" w:hanging="426"/>
        <w:jc w:val="both"/>
        <w:rPr>
          <w:rFonts w:ascii="Calibri" w:hAnsi="Calibri" w:cs="Calibri"/>
          <w:sz w:val="18"/>
          <w:szCs w:val="18"/>
        </w:rPr>
      </w:pPr>
      <w:r w:rsidRPr="00E13490">
        <w:rPr>
          <w:rFonts w:ascii="Calibri" w:hAnsi="Calibri" w:cs="Calibri"/>
          <w:b/>
          <w:bCs/>
          <w:sz w:val="18"/>
          <w:szCs w:val="18"/>
        </w:rPr>
        <w:t>Livraison du matériel, de l'échantillon, de la substance</w:t>
      </w:r>
      <w:r w:rsidR="00047C44" w:rsidRPr="00E13490">
        <w:rPr>
          <w:rFonts w:ascii="Calibri" w:hAnsi="Calibri" w:cs="Calibri"/>
          <w:sz w:val="18"/>
          <w:szCs w:val="18"/>
        </w:rPr>
        <w:t xml:space="preserve">. </w:t>
      </w:r>
      <w:r w:rsidR="00DB6A6A" w:rsidRPr="00E13490">
        <w:rPr>
          <w:rFonts w:ascii="Calibri" w:hAnsi="Calibri" w:cs="Calibri"/>
          <w:sz w:val="18"/>
          <w:szCs w:val="18"/>
        </w:rPr>
        <w:t xml:space="preserve">Le </w:t>
      </w:r>
      <w:r w:rsidR="00E13490">
        <w:rPr>
          <w:rFonts w:ascii="Calibri" w:hAnsi="Calibri" w:cs="Calibri"/>
          <w:sz w:val="18"/>
          <w:szCs w:val="18"/>
        </w:rPr>
        <w:t>C</w:t>
      </w:r>
      <w:r w:rsidR="00DB6A6A" w:rsidRPr="00E13490">
        <w:rPr>
          <w:rFonts w:ascii="Calibri" w:hAnsi="Calibri" w:cs="Calibri"/>
          <w:sz w:val="18"/>
          <w:szCs w:val="18"/>
        </w:rPr>
        <w:t xml:space="preserve">lient doit, à ses propres frais, emballer, charger et livrer le matériel, l'échantillon et/ou toute autre substance pour lesquels le </w:t>
      </w:r>
      <w:r w:rsidR="00E13490">
        <w:rPr>
          <w:rFonts w:ascii="Calibri" w:hAnsi="Calibri" w:cs="Calibri"/>
          <w:sz w:val="18"/>
          <w:szCs w:val="18"/>
        </w:rPr>
        <w:t>C</w:t>
      </w:r>
      <w:r w:rsidR="00DB6A6A" w:rsidRPr="00E13490">
        <w:rPr>
          <w:rFonts w:ascii="Calibri" w:hAnsi="Calibri" w:cs="Calibri"/>
          <w:sz w:val="18"/>
          <w:szCs w:val="18"/>
        </w:rPr>
        <w:t xml:space="preserve">lient a demandé des services/analyses sur le </w:t>
      </w:r>
      <w:r w:rsidR="00E13490">
        <w:rPr>
          <w:rFonts w:ascii="Calibri" w:hAnsi="Calibri" w:cs="Calibri"/>
          <w:sz w:val="18"/>
          <w:szCs w:val="18"/>
        </w:rPr>
        <w:t>S</w:t>
      </w:r>
      <w:r w:rsidR="00DB6A6A" w:rsidRPr="00E13490">
        <w:rPr>
          <w:rFonts w:ascii="Calibri" w:hAnsi="Calibri" w:cs="Calibri"/>
          <w:sz w:val="18"/>
          <w:szCs w:val="18"/>
        </w:rPr>
        <w:t xml:space="preserve">ite. L'INRS ne remboursera aucun frais de transport, d'assurance, d'expédition, d'entreposage, de manutention, de cartonnage, d'emballage ou autres frais similaires, sauf </w:t>
      </w:r>
      <w:r w:rsidR="00A12EAF">
        <w:rPr>
          <w:rFonts w:ascii="Calibri" w:hAnsi="Calibri" w:cs="Calibri"/>
          <w:sz w:val="18"/>
          <w:szCs w:val="18"/>
        </w:rPr>
        <w:t xml:space="preserve">si accepté par écrit par </w:t>
      </w:r>
      <w:r w:rsidR="00DB6A6A" w:rsidRPr="00E13490">
        <w:rPr>
          <w:rFonts w:ascii="Calibri" w:hAnsi="Calibri" w:cs="Calibri"/>
          <w:sz w:val="18"/>
          <w:szCs w:val="18"/>
        </w:rPr>
        <w:t xml:space="preserve">l'INRS. Le risque de perte ou de dommage est transféré à l'INRS à la réception du matériel, de l'échantillon et/ou de toute autre substance une fois que l'INRS l'a reçu sur le </w:t>
      </w:r>
      <w:r w:rsidR="00A12EAF">
        <w:rPr>
          <w:rFonts w:ascii="Calibri" w:hAnsi="Calibri" w:cs="Calibri"/>
          <w:sz w:val="18"/>
          <w:szCs w:val="18"/>
        </w:rPr>
        <w:t>S</w:t>
      </w:r>
      <w:r w:rsidR="00DB6A6A" w:rsidRPr="00E13490">
        <w:rPr>
          <w:rFonts w:ascii="Calibri" w:hAnsi="Calibri" w:cs="Calibri"/>
          <w:sz w:val="18"/>
          <w:szCs w:val="18"/>
        </w:rPr>
        <w:t xml:space="preserve">ite. L'INRS n'est pas tenu de souscrire une assurance pendant que le matériel, l'échantillon et/ou toute autre substance </w:t>
      </w:r>
      <w:proofErr w:type="gramStart"/>
      <w:r w:rsidR="00DB6A6A" w:rsidRPr="00E13490">
        <w:rPr>
          <w:rFonts w:ascii="Calibri" w:hAnsi="Calibri" w:cs="Calibri"/>
          <w:sz w:val="18"/>
          <w:szCs w:val="18"/>
        </w:rPr>
        <w:t>sont</w:t>
      </w:r>
      <w:proofErr w:type="gramEnd"/>
      <w:r w:rsidR="00DB6A6A" w:rsidRPr="00E13490">
        <w:rPr>
          <w:rFonts w:ascii="Calibri" w:hAnsi="Calibri" w:cs="Calibri"/>
          <w:sz w:val="18"/>
          <w:szCs w:val="18"/>
        </w:rPr>
        <w:t xml:space="preserve"> en transit entre le Client et l</w:t>
      </w:r>
      <w:r w:rsidR="00E13490">
        <w:rPr>
          <w:rFonts w:ascii="Calibri" w:hAnsi="Calibri" w:cs="Calibri"/>
          <w:sz w:val="18"/>
          <w:szCs w:val="18"/>
        </w:rPr>
        <w:t>e Site</w:t>
      </w:r>
      <w:r w:rsidR="00047C44" w:rsidRPr="00E13490">
        <w:rPr>
          <w:rFonts w:ascii="Calibri" w:hAnsi="Calibri" w:cs="Calibri"/>
          <w:sz w:val="18"/>
          <w:szCs w:val="18"/>
        </w:rPr>
        <w:t>.</w:t>
      </w:r>
    </w:p>
    <w:p w14:paraId="73ED91C5" w14:textId="342D2391" w:rsidR="00047C44" w:rsidRPr="00A41541" w:rsidRDefault="00A41541" w:rsidP="009E0049">
      <w:pPr>
        <w:numPr>
          <w:ilvl w:val="0"/>
          <w:numId w:val="1"/>
        </w:numPr>
        <w:tabs>
          <w:tab w:val="clear" w:pos="720"/>
          <w:tab w:val="num" w:pos="426"/>
        </w:tabs>
        <w:spacing w:after="0"/>
        <w:ind w:left="426" w:hanging="426"/>
        <w:jc w:val="both"/>
        <w:rPr>
          <w:rFonts w:ascii="Calibri" w:hAnsi="Calibri" w:cs="Calibri"/>
          <w:sz w:val="18"/>
          <w:szCs w:val="18"/>
        </w:rPr>
      </w:pPr>
      <w:r w:rsidRPr="00075D2F">
        <w:rPr>
          <w:rFonts w:ascii="Calibri" w:hAnsi="Calibri" w:cs="Calibri"/>
          <w:b/>
          <w:bCs/>
          <w:sz w:val="18"/>
          <w:szCs w:val="18"/>
        </w:rPr>
        <w:t>Droits de propriété intellectuelle</w:t>
      </w:r>
      <w:r w:rsidRPr="00075D2F">
        <w:rPr>
          <w:rFonts w:ascii="Calibri" w:hAnsi="Calibri" w:cs="Calibri"/>
          <w:sz w:val="18"/>
          <w:szCs w:val="18"/>
        </w:rPr>
        <w:t xml:space="preserve">. Tous les droits de propriété intellectuelle dans chaque </w:t>
      </w:r>
      <w:r w:rsidR="0070728A">
        <w:rPr>
          <w:rFonts w:ascii="Calibri" w:hAnsi="Calibri" w:cs="Calibri"/>
          <w:sz w:val="18"/>
          <w:szCs w:val="18"/>
        </w:rPr>
        <w:t>Livrable</w:t>
      </w:r>
      <w:r w:rsidRPr="00075D2F">
        <w:rPr>
          <w:rFonts w:ascii="Calibri" w:hAnsi="Calibri" w:cs="Calibri"/>
          <w:sz w:val="18"/>
          <w:szCs w:val="18"/>
        </w:rPr>
        <w:t xml:space="preserve"> seront dévolus au </w:t>
      </w:r>
      <w:r w:rsidR="0070728A">
        <w:rPr>
          <w:rFonts w:ascii="Calibri" w:hAnsi="Calibri" w:cs="Calibri"/>
          <w:sz w:val="18"/>
          <w:szCs w:val="18"/>
        </w:rPr>
        <w:t>C</w:t>
      </w:r>
      <w:r w:rsidRPr="00075D2F">
        <w:rPr>
          <w:rFonts w:ascii="Calibri" w:hAnsi="Calibri" w:cs="Calibri"/>
          <w:sz w:val="18"/>
          <w:szCs w:val="18"/>
        </w:rPr>
        <w:t xml:space="preserve">lient libre de tous les privilèges et charges, à la réception par l'INRS du paiement du </w:t>
      </w:r>
      <w:r w:rsidR="00F644C0">
        <w:rPr>
          <w:rFonts w:ascii="Calibri" w:hAnsi="Calibri" w:cs="Calibri"/>
          <w:sz w:val="18"/>
          <w:szCs w:val="18"/>
        </w:rPr>
        <w:t>C</w:t>
      </w:r>
      <w:r w:rsidRPr="00075D2F">
        <w:rPr>
          <w:rFonts w:ascii="Calibri" w:hAnsi="Calibri" w:cs="Calibri"/>
          <w:sz w:val="18"/>
          <w:szCs w:val="18"/>
        </w:rPr>
        <w:t xml:space="preserve">lient pour chaque </w:t>
      </w:r>
      <w:r w:rsidR="00F644C0">
        <w:rPr>
          <w:rFonts w:ascii="Calibri" w:hAnsi="Calibri" w:cs="Calibri"/>
          <w:sz w:val="18"/>
          <w:szCs w:val="18"/>
        </w:rPr>
        <w:t>L</w:t>
      </w:r>
      <w:r w:rsidRPr="00075D2F">
        <w:rPr>
          <w:rFonts w:ascii="Calibri" w:hAnsi="Calibri" w:cs="Calibri"/>
          <w:sz w:val="18"/>
          <w:szCs w:val="18"/>
        </w:rPr>
        <w:t xml:space="preserve">ivrable. Il est entendu qu'en cas de défaut de paiement du Client, il est spécifiquement convenu entre les deux parties que l'INRS conservera la propriété intellectuelle relative à tout </w:t>
      </w:r>
      <w:r w:rsidR="00F644C0">
        <w:rPr>
          <w:rFonts w:ascii="Calibri" w:hAnsi="Calibri" w:cs="Calibri"/>
          <w:sz w:val="18"/>
          <w:szCs w:val="18"/>
        </w:rPr>
        <w:t>L</w:t>
      </w:r>
      <w:r w:rsidRPr="00075D2F">
        <w:rPr>
          <w:rFonts w:ascii="Calibri" w:hAnsi="Calibri" w:cs="Calibri"/>
          <w:sz w:val="18"/>
          <w:szCs w:val="18"/>
        </w:rPr>
        <w:t xml:space="preserve">ivrable développé dans le cadre des </w:t>
      </w:r>
      <w:r w:rsidR="00F644C0">
        <w:rPr>
          <w:rFonts w:ascii="Calibri" w:hAnsi="Calibri" w:cs="Calibri"/>
          <w:sz w:val="18"/>
          <w:szCs w:val="18"/>
        </w:rPr>
        <w:t>S</w:t>
      </w:r>
      <w:r w:rsidRPr="00075D2F">
        <w:rPr>
          <w:rFonts w:ascii="Calibri" w:hAnsi="Calibri" w:cs="Calibri"/>
          <w:sz w:val="18"/>
          <w:szCs w:val="18"/>
        </w:rPr>
        <w:t>ervices/</w:t>
      </w:r>
      <w:r w:rsidR="00F644C0">
        <w:rPr>
          <w:rFonts w:ascii="Calibri" w:hAnsi="Calibri" w:cs="Calibri"/>
          <w:sz w:val="18"/>
          <w:szCs w:val="18"/>
        </w:rPr>
        <w:t>A</w:t>
      </w:r>
      <w:r w:rsidRPr="00075D2F">
        <w:rPr>
          <w:rFonts w:ascii="Calibri" w:hAnsi="Calibri" w:cs="Calibri"/>
          <w:sz w:val="18"/>
          <w:szCs w:val="18"/>
        </w:rPr>
        <w:t>nalyse</w:t>
      </w:r>
      <w:r w:rsidR="00F644C0">
        <w:rPr>
          <w:rFonts w:ascii="Calibri" w:hAnsi="Calibri" w:cs="Calibri"/>
          <w:sz w:val="18"/>
          <w:szCs w:val="18"/>
        </w:rPr>
        <w:t>s</w:t>
      </w:r>
      <w:r w:rsidR="002D1062" w:rsidRPr="00A41541">
        <w:rPr>
          <w:rFonts w:ascii="Calibri" w:hAnsi="Calibri" w:cs="Calibri"/>
          <w:sz w:val="18"/>
          <w:szCs w:val="18"/>
        </w:rPr>
        <w:t>.</w:t>
      </w:r>
    </w:p>
    <w:p w14:paraId="7BFE1FBC" w14:textId="72312D68" w:rsidR="00047C44" w:rsidRPr="005E64A9" w:rsidRDefault="005E64A9" w:rsidP="009E0049">
      <w:pPr>
        <w:numPr>
          <w:ilvl w:val="0"/>
          <w:numId w:val="1"/>
        </w:numPr>
        <w:tabs>
          <w:tab w:val="clear" w:pos="720"/>
          <w:tab w:val="num" w:pos="426"/>
        </w:tabs>
        <w:spacing w:after="0"/>
        <w:ind w:left="426" w:hanging="426"/>
        <w:jc w:val="both"/>
        <w:rPr>
          <w:rFonts w:ascii="Calibri" w:hAnsi="Calibri" w:cs="Calibri"/>
          <w:sz w:val="18"/>
          <w:szCs w:val="18"/>
        </w:rPr>
      </w:pPr>
      <w:r w:rsidRPr="00075D2F">
        <w:rPr>
          <w:rFonts w:ascii="Calibri" w:hAnsi="Calibri" w:cs="Calibri"/>
          <w:b/>
          <w:bCs/>
          <w:sz w:val="18"/>
          <w:szCs w:val="18"/>
        </w:rPr>
        <w:t>Confidentialité</w:t>
      </w:r>
      <w:r w:rsidRPr="00075D2F">
        <w:rPr>
          <w:rFonts w:ascii="Calibri" w:hAnsi="Calibri" w:cs="Calibri"/>
          <w:sz w:val="18"/>
          <w:szCs w:val="18"/>
        </w:rPr>
        <w:t xml:space="preserve">. INRS protégera et gardera confidentiels tous les renseignements relatifs au Client obtenus par l'INRS ou fournis à l'INRS par le Client dans le cadre </w:t>
      </w:r>
      <w:r>
        <w:rPr>
          <w:rFonts w:ascii="Calibri" w:hAnsi="Calibri" w:cs="Calibri"/>
          <w:sz w:val="18"/>
          <w:szCs w:val="18"/>
        </w:rPr>
        <w:t>du présent Contrat</w:t>
      </w:r>
      <w:r w:rsidRPr="00075D2F">
        <w:rPr>
          <w:rFonts w:ascii="Calibri" w:hAnsi="Calibri" w:cs="Calibri"/>
          <w:sz w:val="18"/>
          <w:szCs w:val="18"/>
        </w:rPr>
        <w:t xml:space="preserve"> et n'utilisera ces renseignements qu'aux fins de l'exécution de ses obligations en vertu du </w:t>
      </w:r>
      <w:r>
        <w:rPr>
          <w:rFonts w:ascii="Calibri" w:hAnsi="Calibri" w:cs="Calibri"/>
          <w:sz w:val="18"/>
          <w:szCs w:val="18"/>
        </w:rPr>
        <w:t>Contrat</w:t>
      </w:r>
      <w:r w:rsidR="00047C44" w:rsidRPr="005E64A9">
        <w:rPr>
          <w:rFonts w:ascii="Calibri" w:hAnsi="Calibri" w:cs="Calibri"/>
          <w:sz w:val="18"/>
          <w:szCs w:val="18"/>
        </w:rPr>
        <w:t>.</w:t>
      </w:r>
    </w:p>
    <w:p w14:paraId="32660EE6" w14:textId="034CCBFD" w:rsidR="00047C44" w:rsidRPr="004F1DE8" w:rsidRDefault="004F1DE8" w:rsidP="009E0049">
      <w:pPr>
        <w:numPr>
          <w:ilvl w:val="0"/>
          <w:numId w:val="1"/>
        </w:numPr>
        <w:tabs>
          <w:tab w:val="clear" w:pos="720"/>
          <w:tab w:val="num" w:pos="426"/>
        </w:tabs>
        <w:spacing w:after="0"/>
        <w:ind w:left="426" w:hanging="426"/>
        <w:jc w:val="both"/>
        <w:rPr>
          <w:rFonts w:ascii="Calibri" w:hAnsi="Calibri" w:cs="Calibri"/>
          <w:sz w:val="18"/>
          <w:szCs w:val="18"/>
        </w:rPr>
      </w:pPr>
      <w:r w:rsidRPr="00075D2F">
        <w:rPr>
          <w:rFonts w:ascii="Calibri" w:hAnsi="Calibri" w:cs="Calibri"/>
          <w:b/>
          <w:bCs/>
          <w:sz w:val="18"/>
          <w:szCs w:val="18"/>
        </w:rPr>
        <w:t>Entrepreneurs indépendants</w:t>
      </w:r>
      <w:r w:rsidRPr="00075D2F">
        <w:rPr>
          <w:rFonts w:ascii="Calibri" w:hAnsi="Calibri" w:cs="Calibri"/>
          <w:sz w:val="18"/>
          <w:szCs w:val="18"/>
        </w:rPr>
        <w:t xml:space="preserve">. La relation entre le Client et l'INRS, ou tout employé de l'INRS, sera toujours, lors de la fourniture de tout Service/Analyse par l'INRS en vertu </w:t>
      </w:r>
      <w:r>
        <w:rPr>
          <w:rFonts w:ascii="Calibri" w:hAnsi="Calibri" w:cs="Calibri"/>
          <w:sz w:val="18"/>
          <w:szCs w:val="18"/>
        </w:rPr>
        <w:t>du présent Contrat</w:t>
      </w:r>
      <w:r w:rsidRPr="00075D2F">
        <w:rPr>
          <w:rFonts w:ascii="Calibri" w:hAnsi="Calibri" w:cs="Calibri"/>
          <w:sz w:val="18"/>
          <w:szCs w:val="18"/>
        </w:rPr>
        <w:t xml:space="preserve">, celle d'un entrepreneur indépendant, et non </w:t>
      </w:r>
      <w:r w:rsidRPr="00075D2F">
        <w:rPr>
          <w:rFonts w:ascii="Calibri" w:hAnsi="Calibri" w:cs="Calibri"/>
          <w:sz w:val="18"/>
          <w:szCs w:val="18"/>
        </w:rPr>
        <w:t>d'un employé du Client. Aucune relation d'emploi n'est créée par les présentes</w:t>
      </w:r>
      <w:r w:rsidR="00047C44" w:rsidRPr="004F1DE8">
        <w:rPr>
          <w:rFonts w:ascii="Calibri" w:hAnsi="Calibri" w:cs="Calibri"/>
          <w:sz w:val="18"/>
          <w:szCs w:val="18"/>
        </w:rPr>
        <w:t>.</w:t>
      </w:r>
    </w:p>
    <w:p w14:paraId="5DAF8087" w14:textId="327EE0CD" w:rsidR="00047C44" w:rsidRPr="004F1DE8" w:rsidRDefault="004F1DE8" w:rsidP="009E0049">
      <w:pPr>
        <w:numPr>
          <w:ilvl w:val="0"/>
          <w:numId w:val="1"/>
        </w:numPr>
        <w:tabs>
          <w:tab w:val="clear" w:pos="720"/>
          <w:tab w:val="num" w:pos="426"/>
        </w:tabs>
        <w:spacing w:after="0"/>
        <w:ind w:left="426" w:hanging="426"/>
        <w:jc w:val="both"/>
        <w:rPr>
          <w:rFonts w:ascii="Calibri" w:hAnsi="Calibri" w:cs="Calibri"/>
          <w:sz w:val="18"/>
          <w:szCs w:val="18"/>
        </w:rPr>
      </w:pPr>
      <w:r w:rsidRPr="00075D2F">
        <w:rPr>
          <w:rFonts w:ascii="Calibri" w:hAnsi="Calibri" w:cs="Calibri"/>
          <w:b/>
          <w:bCs/>
          <w:sz w:val="18"/>
          <w:szCs w:val="18"/>
        </w:rPr>
        <w:t>Divisibilité</w:t>
      </w:r>
      <w:r w:rsidRPr="00075D2F">
        <w:rPr>
          <w:rFonts w:ascii="Calibri" w:hAnsi="Calibri" w:cs="Calibri"/>
          <w:sz w:val="18"/>
          <w:szCs w:val="18"/>
        </w:rPr>
        <w:t xml:space="preserve">. </w:t>
      </w:r>
      <w:r w:rsidR="00E5481E" w:rsidRPr="00E5481E">
        <w:rPr>
          <w:rFonts w:ascii="Calibri" w:hAnsi="Calibri" w:cs="Calibri"/>
          <w:sz w:val="18"/>
          <w:szCs w:val="18"/>
        </w:rPr>
        <w:t xml:space="preserve">Si une disposition </w:t>
      </w:r>
      <w:r w:rsidR="00E5481E">
        <w:rPr>
          <w:rFonts w:ascii="Calibri" w:hAnsi="Calibri" w:cs="Calibri"/>
          <w:sz w:val="18"/>
          <w:szCs w:val="18"/>
        </w:rPr>
        <w:t>du présent Contrat</w:t>
      </w:r>
      <w:r w:rsidR="00E5481E" w:rsidRPr="00E5481E">
        <w:rPr>
          <w:rFonts w:ascii="Calibri" w:hAnsi="Calibri" w:cs="Calibri"/>
          <w:sz w:val="18"/>
          <w:szCs w:val="18"/>
        </w:rPr>
        <w:t xml:space="preserve"> est jugée inapplicable ou invalide pour quelque raison que ce soit, en tout ou en partie, cette invalidité ou inapplicabilité ne s'appliquera qu'à cette disposition ou partie de disposition et la partie restante ainsi que toutes les autres dispositions resteront pleinement en vigueur et effectives</w:t>
      </w:r>
      <w:r w:rsidR="00047C44" w:rsidRPr="004F1DE8">
        <w:rPr>
          <w:rFonts w:ascii="Calibri" w:hAnsi="Calibri" w:cs="Calibri"/>
          <w:sz w:val="18"/>
          <w:szCs w:val="18"/>
        </w:rPr>
        <w:t>.</w:t>
      </w:r>
    </w:p>
    <w:p w14:paraId="30E29329" w14:textId="2302C26D" w:rsidR="00047C44" w:rsidRPr="009A6485" w:rsidRDefault="009A6485" w:rsidP="009E0049">
      <w:pPr>
        <w:numPr>
          <w:ilvl w:val="0"/>
          <w:numId w:val="1"/>
        </w:numPr>
        <w:tabs>
          <w:tab w:val="clear" w:pos="720"/>
          <w:tab w:val="num" w:pos="426"/>
        </w:tabs>
        <w:spacing w:after="0"/>
        <w:ind w:left="426" w:hanging="426"/>
        <w:jc w:val="both"/>
        <w:rPr>
          <w:rFonts w:ascii="Calibri" w:hAnsi="Calibri" w:cs="Calibri"/>
          <w:sz w:val="18"/>
          <w:szCs w:val="18"/>
        </w:rPr>
      </w:pPr>
      <w:r w:rsidRPr="00075D2F">
        <w:rPr>
          <w:rFonts w:ascii="Calibri" w:hAnsi="Calibri" w:cs="Calibri"/>
          <w:b/>
          <w:bCs/>
          <w:sz w:val="18"/>
          <w:szCs w:val="18"/>
        </w:rPr>
        <w:t>Renonciation</w:t>
      </w:r>
      <w:r w:rsidRPr="00075D2F">
        <w:rPr>
          <w:rFonts w:ascii="Calibri" w:hAnsi="Calibri" w:cs="Calibri"/>
          <w:sz w:val="18"/>
          <w:szCs w:val="18"/>
        </w:rPr>
        <w:t xml:space="preserve">. Aucune renonciation à une disposition du présent </w:t>
      </w:r>
      <w:r>
        <w:rPr>
          <w:rFonts w:ascii="Calibri" w:hAnsi="Calibri" w:cs="Calibri"/>
          <w:sz w:val="18"/>
          <w:szCs w:val="18"/>
        </w:rPr>
        <w:t>Contrat</w:t>
      </w:r>
      <w:r w:rsidRPr="00075D2F">
        <w:rPr>
          <w:rFonts w:ascii="Calibri" w:hAnsi="Calibri" w:cs="Calibri"/>
          <w:sz w:val="18"/>
          <w:szCs w:val="18"/>
        </w:rPr>
        <w:t xml:space="preserve"> ne sera exécutoire contre cette partie à moins qu'elle ne soit écrite et signée par cette partie</w:t>
      </w:r>
      <w:r w:rsidR="00047C44" w:rsidRPr="009A6485">
        <w:rPr>
          <w:rFonts w:ascii="Calibri" w:hAnsi="Calibri" w:cs="Calibri"/>
          <w:sz w:val="18"/>
          <w:szCs w:val="18"/>
        </w:rPr>
        <w:t>.</w:t>
      </w:r>
    </w:p>
    <w:p w14:paraId="129F0572" w14:textId="37278B6D" w:rsidR="00FC2F4A" w:rsidRPr="009A6485" w:rsidRDefault="009A6485" w:rsidP="009E0049">
      <w:pPr>
        <w:numPr>
          <w:ilvl w:val="0"/>
          <w:numId w:val="1"/>
        </w:numPr>
        <w:tabs>
          <w:tab w:val="clear" w:pos="720"/>
          <w:tab w:val="num" w:pos="426"/>
        </w:tabs>
        <w:spacing w:after="0"/>
        <w:ind w:left="426" w:hanging="426"/>
        <w:jc w:val="both"/>
        <w:rPr>
          <w:rFonts w:ascii="Calibri" w:hAnsi="Calibri" w:cs="Calibri"/>
          <w:sz w:val="18"/>
          <w:szCs w:val="18"/>
        </w:rPr>
      </w:pPr>
      <w:r w:rsidRPr="00075D2F">
        <w:rPr>
          <w:rFonts w:ascii="Calibri" w:hAnsi="Calibri" w:cs="Calibri"/>
          <w:b/>
          <w:bCs/>
          <w:sz w:val="18"/>
          <w:szCs w:val="18"/>
        </w:rPr>
        <w:t>Survie</w:t>
      </w:r>
      <w:r w:rsidRPr="00075D2F">
        <w:rPr>
          <w:rFonts w:ascii="Calibri" w:hAnsi="Calibri" w:cs="Calibri"/>
          <w:sz w:val="18"/>
          <w:szCs w:val="18"/>
        </w:rPr>
        <w:t xml:space="preserve">. Toute disposition du présent </w:t>
      </w:r>
      <w:r>
        <w:rPr>
          <w:rFonts w:ascii="Calibri" w:hAnsi="Calibri" w:cs="Calibri"/>
          <w:sz w:val="18"/>
          <w:szCs w:val="18"/>
        </w:rPr>
        <w:t xml:space="preserve">Contrat </w:t>
      </w:r>
      <w:r w:rsidRPr="00075D2F">
        <w:rPr>
          <w:rFonts w:ascii="Calibri" w:hAnsi="Calibri" w:cs="Calibri"/>
          <w:sz w:val="18"/>
          <w:szCs w:val="18"/>
        </w:rPr>
        <w:t xml:space="preserve">qui, expressément ou implicitement </w:t>
      </w:r>
      <w:proofErr w:type="gramStart"/>
      <w:r w:rsidRPr="00075D2F">
        <w:rPr>
          <w:rFonts w:ascii="Calibri" w:hAnsi="Calibri" w:cs="Calibri"/>
          <w:sz w:val="18"/>
          <w:szCs w:val="18"/>
        </w:rPr>
        <w:t>de</w:t>
      </w:r>
      <w:r>
        <w:rPr>
          <w:rFonts w:ascii="Calibri" w:hAnsi="Calibri" w:cs="Calibri"/>
          <w:sz w:val="18"/>
          <w:szCs w:val="18"/>
        </w:rPr>
        <w:t xml:space="preserve"> par</w:t>
      </w:r>
      <w:proofErr w:type="gramEnd"/>
      <w:r w:rsidRPr="00075D2F">
        <w:rPr>
          <w:rFonts w:ascii="Calibri" w:hAnsi="Calibri" w:cs="Calibri"/>
          <w:sz w:val="18"/>
          <w:szCs w:val="18"/>
        </w:rPr>
        <w:t xml:space="preserve"> sa nature, est destinée à survivre à la résiliation ou à </w:t>
      </w:r>
      <w:r w:rsidR="00547D90">
        <w:rPr>
          <w:rFonts w:ascii="Calibri" w:hAnsi="Calibri" w:cs="Calibri"/>
          <w:sz w:val="18"/>
          <w:szCs w:val="18"/>
        </w:rPr>
        <w:t>la fin du Contrat</w:t>
      </w:r>
      <w:r w:rsidRPr="00075D2F">
        <w:rPr>
          <w:rFonts w:ascii="Calibri" w:hAnsi="Calibri" w:cs="Calibri"/>
          <w:sz w:val="18"/>
          <w:szCs w:val="18"/>
        </w:rPr>
        <w:t xml:space="preserve"> restera pleinement en vigueur après toute résiliation, expiration ou </w:t>
      </w:r>
      <w:r w:rsidR="00547D90">
        <w:rPr>
          <w:rFonts w:ascii="Calibri" w:hAnsi="Calibri" w:cs="Calibri"/>
          <w:sz w:val="18"/>
          <w:szCs w:val="18"/>
        </w:rPr>
        <w:t>fin de celui-ci</w:t>
      </w:r>
      <w:r w:rsidR="00047C44" w:rsidRPr="009A6485">
        <w:rPr>
          <w:rFonts w:ascii="Calibri" w:hAnsi="Calibri" w:cs="Calibri"/>
          <w:sz w:val="18"/>
          <w:szCs w:val="18"/>
        </w:rPr>
        <w:t>.</w:t>
      </w:r>
    </w:p>
    <w:p w14:paraId="58092F75" w14:textId="56D9A5AC" w:rsidR="00047C44" w:rsidRPr="003D56ED" w:rsidRDefault="003D56ED" w:rsidP="009E0049">
      <w:pPr>
        <w:numPr>
          <w:ilvl w:val="0"/>
          <w:numId w:val="1"/>
        </w:numPr>
        <w:tabs>
          <w:tab w:val="clear" w:pos="720"/>
          <w:tab w:val="num" w:pos="426"/>
        </w:tabs>
        <w:spacing w:after="0"/>
        <w:ind w:left="426" w:hanging="426"/>
        <w:jc w:val="both"/>
        <w:rPr>
          <w:rFonts w:ascii="Calibri" w:hAnsi="Calibri" w:cs="Calibri"/>
          <w:sz w:val="18"/>
          <w:szCs w:val="18"/>
        </w:rPr>
      </w:pPr>
      <w:r w:rsidRPr="008A4951">
        <w:rPr>
          <w:rFonts w:ascii="Calibri" w:hAnsi="Calibri" w:cs="Calibri"/>
          <w:b/>
          <w:bCs/>
          <w:sz w:val="18"/>
          <w:szCs w:val="18"/>
        </w:rPr>
        <w:t>Interprétation</w:t>
      </w:r>
      <w:r w:rsidRPr="008A4951">
        <w:rPr>
          <w:rFonts w:ascii="Calibri" w:hAnsi="Calibri" w:cs="Calibri"/>
          <w:sz w:val="18"/>
          <w:szCs w:val="18"/>
        </w:rPr>
        <w:t xml:space="preserve">. </w:t>
      </w:r>
      <w:r w:rsidR="00AD140D" w:rsidRPr="00AD140D">
        <w:rPr>
          <w:rFonts w:ascii="Calibri" w:hAnsi="Calibri" w:cs="Calibri"/>
          <w:sz w:val="18"/>
          <w:szCs w:val="18"/>
        </w:rPr>
        <w:t xml:space="preserve">Les titres utilisés dans le présent </w:t>
      </w:r>
      <w:r w:rsidR="00AD140D">
        <w:rPr>
          <w:rFonts w:ascii="Calibri" w:hAnsi="Calibri" w:cs="Calibri"/>
          <w:sz w:val="18"/>
          <w:szCs w:val="18"/>
        </w:rPr>
        <w:t>Contrat</w:t>
      </w:r>
      <w:r w:rsidR="00AD140D" w:rsidRPr="00AD140D">
        <w:rPr>
          <w:rFonts w:ascii="Calibri" w:hAnsi="Calibri" w:cs="Calibri"/>
          <w:sz w:val="18"/>
          <w:szCs w:val="18"/>
        </w:rPr>
        <w:t xml:space="preserve"> et sa division en articles, sections, annexes, appendices et autres subdivisions n'affectent pas son interprétation. À moins que le contexte n'exige une interprétation différente, les mots au singulier incluent le pluriel et vice versa ; les mots au genre incluent tous les genres. Dans le présent </w:t>
      </w:r>
      <w:r w:rsidR="00D76CFE">
        <w:rPr>
          <w:rFonts w:ascii="Calibri" w:hAnsi="Calibri" w:cs="Calibri"/>
          <w:sz w:val="18"/>
          <w:szCs w:val="18"/>
        </w:rPr>
        <w:t>Contrat,</w:t>
      </w:r>
      <w:r w:rsidR="00AD140D" w:rsidRPr="00AD140D">
        <w:rPr>
          <w:rFonts w:ascii="Calibri" w:hAnsi="Calibri" w:cs="Calibri"/>
          <w:sz w:val="18"/>
          <w:szCs w:val="18"/>
        </w:rPr>
        <w:t xml:space="preserve"> les références à des articles, des sections, des annexes, des pièces, des appendices et d'autres subdivisions renvoient à ces parties </w:t>
      </w:r>
      <w:r w:rsidR="00D76CFE">
        <w:rPr>
          <w:rFonts w:ascii="Calibri" w:hAnsi="Calibri" w:cs="Calibri"/>
          <w:sz w:val="18"/>
          <w:szCs w:val="18"/>
        </w:rPr>
        <w:t>du Contrat</w:t>
      </w:r>
      <w:r w:rsidR="00AD140D" w:rsidRPr="00AD140D">
        <w:rPr>
          <w:rFonts w:ascii="Calibri" w:hAnsi="Calibri" w:cs="Calibri"/>
          <w:sz w:val="18"/>
          <w:szCs w:val="18"/>
        </w:rPr>
        <w:t xml:space="preserve">. Lorsque le présent </w:t>
      </w:r>
      <w:r w:rsidR="00D76CFE">
        <w:rPr>
          <w:rFonts w:ascii="Calibri" w:hAnsi="Calibri" w:cs="Calibri"/>
          <w:sz w:val="18"/>
          <w:szCs w:val="18"/>
        </w:rPr>
        <w:t>Contrat</w:t>
      </w:r>
      <w:r w:rsidR="00AD140D" w:rsidRPr="00AD140D">
        <w:rPr>
          <w:rFonts w:ascii="Calibri" w:hAnsi="Calibri" w:cs="Calibri"/>
          <w:sz w:val="18"/>
          <w:szCs w:val="18"/>
        </w:rPr>
        <w:t xml:space="preserve"> utilise le terme « y compris », il signifie « y compris sans limitation », et lorsqu'il utilise le terme « comprend », il signifie « comprend sans limitation »</w:t>
      </w:r>
      <w:r w:rsidR="00047C44" w:rsidRPr="003D56ED">
        <w:rPr>
          <w:rFonts w:ascii="Calibri" w:hAnsi="Calibri" w:cs="Calibri"/>
          <w:sz w:val="18"/>
          <w:szCs w:val="18"/>
        </w:rPr>
        <w:t>.</w:t>
      </w:r>
    </w:p>
    <w:p w14:paraId="0E7878CD" w14:textId="677EA32B" w:rsidR="00BB3CDD" w:rsidRPr="00D76CFE" w:rsidRDefault="00D76CFE" w:rsidP="009E0049">
      <w:pPr>
        <w:numPr>
          <w:ilvl w:val="0"/>
          <w:numId w:val="1"/>
        </w:numPr>
        <w:tabs>
          <w:tab w:val="clear" w:pos="720"/>
          <w:tab w:val="num" w:pos="426"/>
        </w:tabs>
        <w:spacing w:after="0"/>
        <w:ind w:left="426" w:hanging="426"/>
        <w:jc w:val="both"/>
        <w:rPr>
          <w:rFonts w:ascii="Calibri" w:hAnsi="Calibri" w:cs="Calibri"/>
          <w:sz w:val="18"/>
          <w:szCs w:val="18"/>
        </w:rPr>
      </w:pPr>
      <w:r w:rsidRPr="008A4951">
        <w:rPr>
          <w:rFonts w:ascii="Calibri" w:hAnsi="Calibri" w:cs="Calibri"/>
          <w:b/>
          <w:bCs/>
          <w:sz w:val="18"/>
          <w:szCs w:val="18"/>
        </w:rPr>
        <w:t>Loi applicable</w:t>
      </w:r>
      <w:r w:rsidRPr="008A4951">
        <w:rPr>
          <w:rFonts w:ascii="Calibri" w:hAnsi="Calibri" w:cs="Calibri"/>
          <w:sz w:val="18"/>
          <w:szCs w:val="18"/>
        </w:rPr>
        <w:t xml:space="preserve">. La présente entente est régie par les lois de la province de Québec. Les parties reconnaissent irrévocablement la compétence des tribunaux du Québec, qui auront une compétence non exclusive sur toute question découlant </w:t>
      </w:r>
      <w:r>
        <w:rPr>
          <w:rFonts w:ascii="Calibri" w:hAnsi="Calibri" w:cs="Calibri"/>
          <w:sz w:val="18"/>
          <w:szCs w:val="18"/>
        </w:rPr>
        <w:t>des présentes</w:t>
      </w:r>
      <w:r w:rsidR="00047C44" w:rsidRPr="00D76CFE">
        <w:rPr>
          <w:rFonts w:ascii="Calibri" w:hAnsi="Calibri" w:cs="Calibri"/>
          <w:sz w:val="18"/>
          <w:szCs w:val="18"/>
        </w:rPr>
        <w:t>.</w:t>
      </w:r>
    </w:p>
    <w:p w14:paraId="72A17CF9" w14:textId="1D66E1C9" w:rsidR="00CE3091" w:rsidRPr="001C2589" w:rsidRDefault="001C2589" w:rsidP="00E6254D">
      <w:pPr>
        <w:numPr>
          <w:ilvl w:val="0"/>
          <w:numId w:val="1"/>
        </w:numPr>
        <w:tabs>
          <w:tab w:val="clear" w:pos="720"/>
          <w:tab w:val="num" w:pos="426"/>
        </w:tabs>
        <w:spacing w:after="0"/>
        <w:ind w:left="426" w:hanging="426"/>
        <w:jc w:val="both"/>
        <w:rPr>
          <w:rFonts w:ascii="Calibri" w:hAnsi="Calibri" w:cs="Calibri"/>
          <w:sz w:val="18"/>
          <w:szCs w:val="18"/>
        </w:rPr>
        <w:sectPr w:rsidR="00CE3091" w:rsidRPr="001C2589" w:rsidSect="00CE6AE3">
          <w:type w:val="continuous"/>
          <w:pgSz w:w="12240" w:h="15840"/>
          <w:pgMar w:top="1440" w:right="1080" w:bottom="1440" w:left="1080" w:header="708" w:footer="708" w:gutter="0"/>
          <w:cols w:num="2" w:space="234"/>
          <w:docGrid w:linePitch="360"/>
        </w:sectPr>
      </w:pPr>
      <w:r w:rsidRPr="001C2589">
        <w:rPr>
          <w:rFonts w:ascii="Calibri" w:hAnsi="Calibri" w:cs="Calibri"/>
          <w:b/>
          <w:sz w:val="18"/>
          <w:szCs w:val="18"/>
        </w:rPr>
        <w:t xml:space="preserve">Sous-traitance. </w:t>
      </w:r>
      <w:r w:rsidRPr="001C2589">
        <w:rPr>
          <w:rFonts w:ascii="Calibri" w:hAnsi="Calibri" w:cs="Calibri"/>
          <w:bCs/>
          <w:sz w:val="18"/>
          <w:szCs w:val="18"/>
        </w:rPr>
        <w:t xml:space="preserve">L'INRS ne peut pas faire appel à des sous-traitants pour l'exécution des obligations qui lui incombent en vertu des présentes sans l'autorisation écrite préalable du </w:t>
      </w:r>
      <w:r>
        <w:rPr>
          <w:rFonts w:ascii="Calibri" w:hAnsi="Calibri" w:cs="Calibri"/>
          <w:bCs/>
          <w:sz w:val="18"/>
          <w:szCs w:val="18"/>
        </w:rPr>
        <w:t>C</w:t>
      </w:r>
      <w:r w:rsidRPr="001C2589">
        <w:rPr>
          <w:rFonts w:ascii="Calibri" w:hAnsi="Calibri" w:cs="Calibri"/>
          <w:bCs/>
          <w:sz w:val="18"/>
          <w:szCs w:val="18"/>
        </w:rPr>
        <w:t>lient</w:t>
      </w:r>
      <w:r w:rsidR="003E496A" w:rsidRPr="001C2589">
        <w:rPr>
          <w:rFonts w:ascii="Calibri" w:hAnsi="Calibri" w:cs="Calibri"/>
          <w:bCs/>
          <w:sz w:val="18"/>
          <w:szCs w:val="18"/>
        </w:rPr>
        <w:t>.</w:t>
      </w:r>
    </w:p>
    <w:p w14:paraId="05A759E9" w14:textId="77777777" w:rsidR="00047C44" w:rsidRPr="001C2589" w:rsidRDefault="00047C44" w:rsidP="009E0049">
      <w:pPr>
        <w:tabs>
          <w:tab w:val="num" w:pos="426"/>
        </w:tabs>
        <w:spacing w:after="0"/>
        <w:ind w:left="426" w:hanging="426"/>
        <w:jc w:val="both"/>
        <w:rPr>
          <w:rFonts w:ascii="Calibri" w:hAnsi="Calibri" w:cs="Calibri"/>
          <w:sz w:val="18"/>
          <w:szCs w:val="18"/>
        </w:rPr>
      </w:pPr>
    </w:p>
    <w:sectPr w:rsidR="00047C44" w:rsidRPr="001C2589" w:rsidSect="00CE6AE3">
      <w:type w:val="continuous"/>
      <w:pgSz w:w="12240" w:h="15840"/>
      <w:pgMar w:top="1440" w:right="1080" w:bottom="1440" w:left="1080" w:header="708" w:footer="708"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A77E" w14:textId="77777777" w:rsidR="003D3757" w:rsidRDefault="003D3757" w:rsidP="00046414">
      <w:pPr>
        <w:spacing w:after="0" w:line="240" w:lineRule="auto"/>
      </w:pPr>
      <w:r>
        <w:separator/>
      </w:r>
    </w:p>
  </w:endnote>
  <w:endnote w:type="continuationSeparator" w:id="0">
    <w:p w14:paraId="533DA2D4" w14:textId="77777777" w:rsidR="003D3757" w:rsidRDefault="003D3757" w:rsidP="00046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B90FD" w14:textId="77777777" w:rsidR="003D3757" w:rsidRDefault="003D3757" w:rsidP="00046414">
      <w:pPr>
        <w:spacing w:after="0" w:line="240" w:lineRule="auto"/>
      </w:pPr>
      <w:r>
        <w:separator/>
      </w:r>
    </w:p>
  </w:footnote>
  <w:footnote w:type="continuationSeparator" w:id="0">
    <w:p w14:paraId="3C4B7720" w14:textId="77777777" w:rsidR="003D3757" w:rsidRDefault="003D3757" w:rsidP="00046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3BE7" w14:textId="68F5FE64" w:rsidR="00046414" w:rsidRDefault="00046414">
    <w:pPr>
      <w:pStyle w:val="Header"/>
    </w:pPr>
    <w:r>
      <w:rPr>
        <w:noProof/>
        <w:lang w:eastAsia="fr-CA"/>
      </w:rPr>
      <w:drawing>
        <wp:inline distT="0" distB="0" distL="0" distR="0" wp14:anchorId="402D327F" wp14:editId="347E365C">
          <wp:extent cx="1073426" cy="620847"/>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RS-institutionnel_horizontal-couleur-Gr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1249" cy="6311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D75D4"/>
    <w:multiLevelType w:val="multilevel"/>
    <w:tmpl w:val="B58AF3E6"/>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DC78E3"/>
    <w:multiLevelType w:val="multilevel"/>
    <w:tmpl w:val="EBACC4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57215871">
    <w:abstractNumId w:val="0"/>
  </w:num>
  <w:num w:numId="2" w16cid:durableId="1017118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44"/>
    <w:rsid w:val="00000E5C"/>
    <w:rsid w:val="000011F6"/>
    <w:rsid w:val="00016D1B"/>
    <w:rsid w:val="000172A7"/>
    <w:rsid w:val="000303B8"/>
    <w:rsid w:val="000329A4"/>
    <w:rsid w:val="00046414"/>
    <w:rsid w:val="00047C44"/>
    <w:rsid w:val="00050812"/>
    <w:rsid w:val="00072D06"/>
    <w:rsid w:val="00073135"/>
    <w:rsid w:val="00074539"/>
    <w:rsid w:val="00075D2F"/>
    <w:rsid w:val="0008778F"/>
    <w:rsid w:val="000A3E49"/>
    <w:rsid w:val="000A6369"/>
    <w:rsid w:val="000B239F"/>
    <w:rsid w:val="000B40ED"/>
    <w:rsid w:val="000D3F71"/>
    <w:rsid w:val="0010320C"/>
    <w:rsid w:val="00106839"/>
    <w:rsid w:val="00110E3A"/>
    <w:rsid w:val="00111D04"/>
    <w:rsid w:val="00153C6F"/>
    <w:rsid w:val="0016152E"/>
    <w:rsid w:val="001671D3"/>
    <w:rsid w:val="00172860"/>
    <w:rsid w:val="001B0B9C"/>
    <w:rsid w:val="001B0D15"/>
    <w:rsid w:val="001B568E"/>
    <w:rsid w:val="001C2589"/>
    <w:rsid w:val="001C3272"/>
    <w:rsid w:val="001C38AE"/>
    <w:rsid w:val="001E6DCF"/>
    <w:rsid w:val="00212DD7"/>
    <w:rsid w:val="00227906"/>
    <w:rsid w:val="00231B99"/>
    <w:rsid w:val="00235DD3"/>
    <w:rsid w:val="00292774"/>
    <w:rsid w:val="002A3521"/>
    <w:rsid w:val="002A5A1D"/>
    <w:rsid w:val="002A5DFF"/>
    <w:rsid w:val="002C4699"/>
    <w:rsid w:val="002D1062"/>
    <w:rsid w:val="002F401F"/>
    <w:rsid w:val="00302580"/>
    <w:rsid w:val="00312A4C"/>
    <w:rsid w:val="00326428"/>
    <w:rsid w:val="0033641E"/>
    <w:rsid w:val="00353E6B"/>
    <w:rsid w:val="00357C55"/>
    <w:rsid w:val="003706E0"/>
    <w:rsid w:val="00390581"/>
    <w:rsid w:val="0039095F"/>
    <w:rsid w:val="00391DEC"/>
    <w:rsid w:val="003A382A"/>
    <w:rsid w:val="003B57A1"/>
    <w:rsid w:val="003C1720"/>
    <w:rsid w:val="003D3757"/>
    <w:rsid w:val="003D56ED"/>
    <w:rsid w:val="003E496A"/>
    <w:rsid w:val="003F0960"/>
    <w:rsid w:val="003F5C23"/>
    <w:rsid w:val="00432E9C"/>
    <w:rsid w:val="00440AD5"/>
    <w:rsid w:val="00442A40"/>
    <w:rsid w:val="00455594"/>
    <w:rsid w:val="00462EF1"/>
    <w:rsid w:val="00472235"/>
    <w:rsid w:val="004A16B0"/>
    <w:rsid w:val="004A76C7"/>
    <w:rsid w:val="004B5AE4"/>
    <w:rsid w:val="004E6D79"/>
    <w:rsid w:val="004F1DE8"/>
    <w:rsid w:val="005001F3"/>
    <w:rsid w:val="00505268"/>
    <w:rsid w:val="0054014C"/>
    <w:rsid w:val="00546A76"/>
    <w:rsid w:val="00547D90"/>
    <w:rsid w:val="00560D0F"/>
    <w:rsid w:val="00563617"/>
    <w:rsid w:val="00594A95"/>
    <w:rsid w:val="00596B01"/>
    <w:rsid w:val="005A2D57"/>
    <w:rsid w:val="005A5448"/>
    <w:rsid w:val="005A7FA4"/>
    <w:rsid w:val="005D0B44"/>
    <w:rsid w:val="005E64A9"/>
    <w:rsid w:val="005F6AF7"/>
    <w:rsid w:val="00600196"/>
    <w:rsid w:val="0062571A"/>
    <w:rsid w:val="00627681"/>
    <w:rsid w:val="00630ABD"/>
    <w:rsid w:val="006330BC"/>
    <w:rsid w:val="006459EC"/>
    <w:rsid w:val="00650CB1"/>
    <w:rsid w:val="00652E10"/>
    <w:rsid w:val="00680966"/>
    <w:rsid w:val="00685DF3"/>
    <w:rsid w:val="0069753E"/>
    <w:rsid w:val="006A335C"/>
    <w:rsid w:val="006D5161"/>
    <w:rsid w:val="00706BAD"/>
    <w:rsid w:val="0070728A"/>
    <w:rsid w:val="00715DA5"/>
    <w:rsid w:val="00735DDE"/>
    <w:rsid w:val="00746EBE"/>
    <w:rsid w:val="00760F60"/>
    <w:rsid w:val="00773F63"/>
    <w:rsid w:val="00793315"/>
    <w:rsid w:val="007D71CF"/>
    <w:rsid w:val="007F1BC4"/>
    <w:rsid w:val="00811B1E"/>
    <w:rsid w:val="008211B3"/>
    <w:rsid w:val="008508DE"/>
    <w:rsid w:val="0085711F"/>
    <w:rsid w:val="00860BEF"/>
    <w:rsid w:val="0089678B"/>
    <w:rsid w:val="008A3560"/>
    <w:rsid w:val="008A4951"/>
    <w:rsid w:val="008B1CE1"/>
    <w:rsid w:val="008B6030"/>
    <w:rsid w:val="008D31B3"/>
    <w:rsid w:val="008E4E9F"/>
    <w:rsid w:val="008F0701"/>
    <w:rsid w:val="00910C59"/>
    <w:rsid w:val="0093089F"/>
    <w:rsid w:val="00965FE4"/>
    <w:rsid w:val="009737F4"/>
    <w:rsid w:val="0097657E"/>
    <w:rsid w:val="009978EB"/>
    <w:rsid w:val="009A6485"/>
    <w:rsid w:val="009B58FC"/>
    <w:rsid w:val="009C397B"/>
    <w:rsid w:val="009D72E0"/>
    <w:rsid w:val="009E0049"/>
    <w:rsid w:val="00A12EAF"/>
    <w:rsid w:val="00A20052"/>
    <w:rsid w:val="00A322FA"/>
    <w:rsid w:val="00A337C6"/>
    <w:rsid w:val="00A37370"/>
    <w:rsid w:val="00A41541"/>
    <w:rsid w:val="00A66791"/>
    <w:rsid w:val="00A72D11"/>
    <w:rsid w:val="00A81779"/>
    <w:rsid w:val="00A8220C"/>
    <w:rsid w:val="00AA0C73"/>
    <w:rsid w:val="00AA7D33"/>
    <w:rsid w:val="00AB4C89"/>
    <w:rsid w:val="00AD140D"/>
    <w:rsid w:val="00AE20A2"/>
    <w:rsid w:val="00AF288D"/>
    <w:rsid w:val="00B00919"/>
    <w:rsid w:val="00B03374"/>
    <w:rsid w:val="00B06BC6"/>
    <w:rsid w:val="00B40A1F"/>
    <w:rsid w:val="00B42304"/>
    <w:rsid w:val="00B5037A"/>
    <w:rsid w:val="00B764A7"/>
    <w:rsid w:val="00BB3CDD"/>
    <w:rsid w:val="00BC715F"/>
    <w:rsid w:val="00BD2A70"/>
    <w:rsid w:val="00BE4803"/>
    <w:rsid w:val="00BE541B"/>
    <w:rsid w:val="00C17860"/>
    <w:rsid w:val="00C21959"/>
    <w:rsid w:val="00C30608"/>
    <w:rsid w:val="00CD2168"/>
    <w:rsid w:val="00CE3091"/>
    <w:rsid w:val="00CE5745"/>
    <w:rsid w:val="00CE6AE3"/>
    <w:rsid w:val="00D01CBB"/>
    <w:rsid w:val="00D065BC"/>
    <w:rsid w:val="00D22956"/>
    <w:rsid w:val="00D36BF3"/>
    <w:rsid w:val="00D4492F"/>
    <w:rsid w:val="00D550E3"/>
    <w:rsid w:val="00D65C63"/>
    <w:rsid w:val="00D76CFE"/>
    <w:rsid w:val="00D819AE"/>
    <w:rsid w:val="00D82516"/>
    <w:rsid w:val="00D83842"/>
    <w:rsid w:val="00D85825"/>
    <w:rsid w:val="00DA6FC7"/>
    <w:rsid w:val="00DA7AA0"/>
    <w:rsid w:val="00DB05AA"/>
    <w:rsid w:val="00DB1ABB"/>
    <w:rsid w:val="00DB6A6A"/>
    <w:rsid w:val="00DC1D09"/>
    <w:rsid w:val="00DF08A4"/>
    <w:rsid w:val="00E0468E"/>
    <w:rsid w:val="00E13490"/>
    <w:rsid w:val="00E13F32"/>
    <w:rsid w:val="00E176CA"/>
    <w:rsid w:val="00E2493F"/>
    <w:rsid w:val="00E5481E"/>
    <w:rsid w:val="00E6254D"/>
    <w:rsid w:val="00E637A0"/>
    <w:rsid w:val="00E63CFE"/>
    <w:rsid w:val="00E9119D"/>
    <w:rsid w:val="00EB4239"/>
    <w:rsid w:val="00EB5A42"/>
    <w:rsid w:val="00EE2930"/>
    <w:rsid w:val="00EE427E"/>
    <w:rsid w:val="00EE66D8"/>
    <w:rsid w:val="00EF21E3"/>
    <w:rsid w:val="00F17937"/>
    <w:rsid w:val="00F23C6B"/>
    <w:rsid w:val="00F644C0"/>
    <w:rsid w:val="00F709D0"/>
    <w:rsid w:val="00F77A06"/>
    <w:rsid w:val="00F95B54"/>
    <w:rsid w:val="00FB7FB3"/>
    <w:rsid w:val="00FC2F4A"/>
    <w:rsid w:val="00FE22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DC80"/>
  <w15:chartTrackingRefBased/>
  <w15:docId w15:val="{E8001281-E88B-4D11-994A-4AF425D2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C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C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C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C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C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C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C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C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C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C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C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C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C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C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C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C44"/>
    <w:rPr>
      <w:rFonts w:eastAsiaTheme="majorEastAsia" w:cstheme="majorBidi"/>
      <w:color w:val="272727" w:themeColor="text1" w:themeTint="D8"/>
    </w:rPr>
  </w:style>
  <w:style w:type="paragraph" w:styleId="Title">
    <w:name w:val="Title"/>
    <w:basedOn w:val="Normal"/>
    <w:next w:val="Normal"/>
    <w:link w:val="TitleChar"/>
    <w:uiPriority w:val="10"/>
    <w:qFormat/>
    <w:rsid w:val="00047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C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C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C44"/>
    <w:pPr>
      <w:spacing w:before="160"/>
      <w:jc w:val="center"/>
    </w:pPr>
    <w:rPr>
      <w:i/>
      <w:iCs/>
      <w:color w:val="404040" w:themeColor="text1" w:themeTint="BF"/>
    </w:rPr>
  </w:style>
  <w:style w:type="character" w:customStyle="1" w:styleId="QuoteChar">
    <w:name w:val="Quote Char"/>
    <w:basedOn w:val="DefaultParagraphFont"/>
    <w:link w:val="Quote"/>
    <w:uiPriority w:val="29"/>
    <w:rsid w:val="00047C44"/>
    <w:rPr>
      <w:i/>
      <w:iCs/>
      <w:color w:val="404040" w:themeColor="text1" w:themeTint="BF"/>
    </w:rPr>
  </w:style>
  <w:style w:type="paragraph" w:styleId="ListParagraph">
    <w:name w:val="List Paragraph"/>
    <w:basedOn w:val="Normal"/>
    <w:uiPriority w:val="34"/>
    <w:qFormat/>
    <w:rsid w:val="00047C44"/>
    <w:pPr>
      <w:ind w:left="720"/>
      <w:contextualSpacing/>
    </w:pPr>
  </w:style>
  <w:style w:type="character" w:styleId="IntenseEmphasis">
    <w:name w:val="Intense Emphasis"/>
    <w:basedOn w:val="DefaultParagraphFont"/>
    <w:uiPriority w:val="21"/>
    <w:qFormat/>
    <w:rsid w:val="00047C44"/>
    <w:rPr>
      <w:i/>
      <w:iCs/>
      <w:color w:val="0F4761" w:themeColor="accent1" w:themeShade="BF"/>
    </w:rPr>
  </w:style>
  <w:style w:type="paragraph" w:styleId="IntenseQuote">
    <w:name w:val="Intense Quote"/>
    <w:basedOn w:val="Normal"/>
    <w:next w:val="Normal"/>
    <w:link w:val="IntenseQuoteChar"/>
    <w:uiPriority w:val="30"/>
    <w:qFormat/>
    <w:rsid w:val="00047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C44"/>
    <w:rPr>
      <w:i/>
      <w:iCs/>
      <w:color w:val="0F4761" w:themeColor="accent1" w:themeShade="BF"/>
    </w:rPr>
  </w:style>
  <w:style w:type="character" w:styleId="IntenseReference">
    <w:name w:val="Intense Reference"/>
    <w:basedOn w:val="DefaultParagraphFont"/>
    <w:uiPriority w:val="32"/>
    <w:qFormat/>
    <w:rsid w:val="00047C44"/>
    <w:rPr>
      <w:b/>
      <w:bCs/>
      <w:smallCaps/>
      <w:color w:val="0F4761" w:themeColor="accent1" w:themeShade="BF"/>
      <w:spacing w:val="5"/>
    </w:rPr>
  </w:style>
  <w:style w:type="character" w:styleId="PlaceholderText">
    <w:name w:val="Placeholder Text"/>
    <w:basedOn w:val="DefaultParagraphFont"/>
    <w:uiPriority w:val="99"/>
    <w:semiHidden/>
    <w:rsid w:val="000B239F"/>
    <w:rPr>
      <w:color w:val="666666"/>
    </w:rPr>
  </w:style>
  <w:style w:type="paragraph" w:styleId="Header">
    <w:name w:val="header"/>
    <w:basedOn w:val="Normal"/>
    <w:link w:val="HeaderChar"/>
    <w:uiPriority w:val="99"/>
    <w:unhideWhenUsed/>
    <w:rsid w:val="0004641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46414"/>
  </w:style>
  <w:style w:type="paragraph" w:styleId="Footer">
    <w:name w:val="footer"/>
    <w:basedOn w:val="Normal"/>
    <w:link w:val="FooterChar"/>
    <w:uiPriority w:val="99"/>
    <w:unhideWhenUsed/>
    <w:rsid w:val="0004641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46414"/>
  </w:style>
  <w:style w:type="paragraph" w:styleId="Revision">
    <w:name w:val="Revision"/>
    <w:hidden/>
    <w:uiPriority w:val="99"/>
    <w:semiHidden/>
    <w:rsid w:val="00227906"/>
    <w:pPr>
      <w:spacing w:after="0" w:line="240" w:lineRule="auto"/>
    </w:pPr>
  </w:style>
  <w:style w:type="character" w:styleId="CommentReference">
    <w:name w:val="annotation reference"/>
    <w:basedOn w:val="DefaultParagraphFont"/>
    <w:uiPriority w:val="99"/>
    <w:semiHidden/>
    <w:unhideWhenUsed/>
    <w:rsid w:val="0062571A"/>
    <w:rPr>
      <w:sz w:val="16"/>
      <w:szCs w:val="16"/>
    </w:rPr>
  </w:style>
  <w:style w:type="paragraph" w:styleId="CommentText">
    <w:name w:val="annotation text"/>
    <w:basedOn w:val="Normal"/>
    <w:link w:val="CommentTextChar"/>
    <w:uiPriority w:val="99"/>
    <w:unhideWhenUsed/>
    <w:rsid w:val="0062571A"/>
    <w:pPr>
      <w:spacing w:line="240" w:lineRule="auto"/>
    </w:pPr>
    <w:rPr>
      <w:sz w:val="20"/>
      <w:szCs w:val="20"/>
    </w:rPr>
  </w:style>
  <w:style w:type="character" w:customStyle="1" w:styleId="CommentTextChar">
    <w:name w:val="Comment Text Char"/>
    <w:basedOn w:val="DefaultParagraphFont"/>
    <w:link w:val="CommentText"/>
    <w:uiPriority w:val="99"/>
    <w:rsid w:val="0062571A"/>
    <w:rPr>
      <w:sz w:val="20"/>
      <w:szCs w:val="20"/>
    </w:rPr>
  </w:style>
  <w:style w:type="paragraph" w:styleId="CommentSubject">
    <w:name w:val="annotation subject"/>
    <w:basedOn w:val="CommentText"/>
    <w:next w:val="CommentText"/>
    <w:link w:val="CommentSubjectChar"/>
    <w:uiPriority w:val="99"/>
    <w:semiHidden/>
    <w:unhideWhenUsed/>
    <w:rsid w:val="0062571A"/>
    <w:rPr>
      <w:b/>
      <w:bCs/>
    </w:rPr>
  </w:style>
  <w:style w:type="character" w:customStyle="1" w:styleId="CommentSubjectChar">
    <w:name w:val="Comment Subject Char"/>
    <w:basedOn w:val="CommentTextChar"/>
    <w:link w:val="CommentSubject"/>
    <w:uiPriority w:val="99"/>
    <w:semiHidden/>
    <w:rsid w:val="006257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5212">
      <w:bodyDiv w:val="1"/>
      <w:marLeft w:val="0"/>
      <w:marRight w:val="0"/>
      <w:marTop w:val="0"/>
      <w:marBottom w:val="0"/>
      <w:divBdr>
        <w:top w:val="none" w:sz="0" w:space="0" w:color="auto"/>
        <w:left w:val="none" w:sz="0" w:space="0" w:color="auto"/>
        <w:bottom w:val="none" w:sz="0" w:space="0" w:color="auto"/>
        <w:right w:val="none" w:sz="0" w:space="0" w:color="auto"/>
      </w:divBdr>
    </w:div>
    <w:div w:id="898201046">
      <w:bodyDiv w:val="1"/>
      <w:marLeft w:val="0"/>
      <w:marRight w:val="0"/>
      <w:marTop w:val="0"/>
      <w:marBottom w:val="0"/>
      <w:divBdr>
        <w:top w:val="none" w:sz="0" w:space="0" w:color="auto"/>
        <w:left w:val="none" w:sz="0" w:space="0" w:color="auto"/>
        <w:bottom w:val="none" w:sz="0" w:space="0" w:color="auto"/>
        <w:right w:val="none" w:sz="0" w:space="0" w:color="auto"/>
      </w:divBdr>
    </w:div>
    <w:div w:id="1630479003">
      <w:bodyDiv w:val="1"/>
      <w:marLeft w:val="0"/>
      <w:marRight w:val="0"/>
      <w:marTop w:val="0"/>
      <w:marBottom w:val="0"/>
      <w:divBdr>
        <w:top w:val="none" w:sz="0" w:space="0" w:color="auto"/>
        <w:left w:val="none" w:sz="0" w:space="0" w:color="auto"/>
        <w:bottom w:val="none" w:sz="0" w:space="0" w:color="auto"/>
        <w:right w:val="none" w:sz="0" w:space="0" w:color="auto"/>
      </w:divBdr>
    </w:div>
    <w:div w:id="183803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D7AB8C25-5B8E-47B0-9AC8-D5EFC5916952}"/>
      </w:docPartPr>
      <w:docPartBody>
        <w:p w:rsidR="006925C9" w:rsidRDefault="006925C9">
          <w:r w:rsidRPr="0096031D">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C9"/>
    <w:rsid w:val="000F2ECE"/>
    <w:rsid w:val="001F33DB"/>
    <w:rsid w:val="002D5C8A"/>
    <w:rsid w:val="00312A4C"/>
    <w:rsid w:val="003706E0"/>
    <w:rsid w:val="00560D0F"/>
    <w:rsid w:val="00640946"/>
    <w:rsid w:val="006925C9"/>
    <w:rsid w:val="00706BAD"/>
    <w:rsid w:val="00846E4D"/>
    <w:rsid w:val="008508DE"/>
    <w:rsid w:val="00987D3F"/>
    <w:rsid w:val="009B527B"/>
    <w:rsid w:val="00C26A33"/>
    <w:rsid w:val="00EB4239"/>
    <w:rsid w:val="00FD21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5C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F5DAC072CA44BBE74E614256981DC" ma:contentTypeVersion="12" ma:contentTypeDescription="Crée un document." ma:contentTypeScope="" ma:versionID="b7f341b860a8d2f1c5ccd0b291f2cc18">
  <xsd:schema xmlns:xsd="http://www.w3.org/2001/XMLSchema" xmlns:xs="http://www.w3.org/2001/XMLSchema" xmlns:p="http://schemas.microsoft.com/office/2006/metadata/properties" xmlns:ns2="99b80e0e-df1c-4509-8a6f-0d1d4db81eb2" xmlns:ns3="98c9ab22-d2f3-4c04-bfc4-a29493c83e98" targetNamespace="http://schemas.microsoft.com/office/2006/metadata/properties" ma:root="true" ma:fieldsID="d8f16580dc193a069c99f31d01c1703b" ns2:_="" ns3:_="">
    <xsd:import namespace="99b80e0e-df1c-4509-8a6f-0d1d4db81eb2"/>
    <xsd:import namespace="98c9ab22-d2f3-4c04-bfc4-a29493c83e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80e0e-df1c-4509-8a6f-0d1d4db81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771bcca-0858-42f3-9c3f-9bba573efcb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9ab22-d2f3-4c04-bfc4-a29493c83e9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b80e0e-df1c-4509-8a6f-0d1d4db81e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D80995-9C4F-4D2D-8C6A-07762CFFA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80e0e-df1c-4509-8a6f-0d1d4db81eb2"/>
    <ds:schemaRef ds:uri="98c9ab22-d2f3-4c04-bfc4-a29493c83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22313-FE8C-4833-BC26-C2D027DB37B1}">
  <ds:schemaRefs>
    <ds:schemaRef ds:uri="http://schemas.microsoft.com/sharepoint/v3/contenttype/forms"/>
  </ds:schemaRefs>
</ds:datastoreItem>
</file>

<file path=customXml/itemProps3.xml><?xml version="1.0" encoding="utf-8"?>
<ds:datastoreItem xmlns:ds="http://schemas.openxmlformats.org/officeDocument/2006/customXml" ds:itemID="{E5A8D56C-9FF2-4D65-849E-C2BBDC67AAE3}">
  <ds:schemaRefs>
    <ds:schemaRef ds:uri="http://schemas.microsoft.com/office/2006/metadata/properties"/>
    <ds:schemaRef ds:uri="http://schemas.microsoft.com/office/infopath/2007/PartnerControls"/>
    <ds:schemaRef ds:uri="99b80e0e-df1c-4509-8a6f-0d1d4db81eb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1400</Words>
  <Characters>7984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Couët, Julie</dc:creator>
  <cp:keywords/>
  <dc:description/>
  <cp:lastModifiedBy>Larda, Sacha</cp:lastModifiedBy>
  <cp:revision>2</cp:revision>
  <dcterms:created xsi:type="dcterms:W3CDTF">2025-01-13T14:56:00Z</dcterms:created>
  <dcterms:modified xsi:type="dcterms:W3CDTF">2025-01-13T14:56:00Z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0x010100D65F5DAC072CA44BBE74E614256981DC</vt:lpwstr>
  </property>
</Properties>
</file>